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1D" w:rsidRPr="00D9489C" w:rsidRDefault="00DF741D" w:rsidP="000871E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489C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DF741D" w:rsidRDefault="00DF741D" w:rsidP="000871E3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16926">
        <w:rPr>
          <w:rFonts w:ascii="Times New Roman" w:hAnsi="Times New Roman" w:cs="Times New Roman"/>
          <w:sz w:val="20"/>
          <w:szCs w:val="20"/>
        </w:rPr>
        <w:t>ООО «</w:t>
      </w:r>
      <w:r w:rsidR="00463A04">
        <w:rPr>
          <w:rFonts w:ascii="Times New Roman" w:hAnsi="Times New Roman" w:cs="Times New Roman"/>
          <w:sz w:val="20"/>
          <w:szCs w:val="20"/>
        </w:rPr>
        <w:t>Империя</w:t>
      </w:r>
      <w:r w:rsidRPr="00016926">
        <w:rPr>
          <w:rFonts w:ascii="Times New Roman" w:hAnsi="Times New Roman" w:cs="Times New Roman"/>
          <w:sz w:val="20"/>
          <w:szCs w:val="20"/>
        </w:rPr>
        <w:t>»</w:t>
      </w:r>
    </w:p>
    <w:p w:rsidR="00F92E1A" w:rsidRPr="00F92E1A" w:rsidRDefault="00F92E1A" w:rsidP="00087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доверенности</w:t>
      </w:r>
    </w:p>
    <w:p w:rsidR="00DF741D" w:rsidRPr="00016926" w:rsidRDefault="00886A48" w:rsidP="00087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F92E1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92E1A">
        <w:rPr>
          <w:rFonts w:ascii="Times New Roman" w:hAnsi="Times New Roman" w:cs="Times New Roman"/>
          <w:sz w:val="20"/>
          <w:szCs w:val="20"/>
        </w:rPr>
        <w:t>И.В.Павлова</w:t>
      </w:r>
      <w:proofErr w:type="spellEnd"/>
    </w:p>
    <w:p w:rsidR="00DF741D" w:rsidRPr="008A3433" w:rsidRDefault="00DF741D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EBE">
        <w:rPr>
          <w:rFonts w:ascii="Times New Roman" w:hAnsi="Times New Roman" w:cs="Times New Roman"/>
          <w:b/>
          <w:bCs/>
          <w:sz w:val="20"/>
          <w:szCs w:val="20"/>
        </w:rPr>
        <w:t>Проектная декларация</w:t>
      </w:r>
    </w:p>
    <w:p w:rsidR="008A3433" w:rsidRPr="008A3433" w:rsidRDefault="008A343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9E7DCE">
        <w:rPr>
          <w:rFonts w:ascii="Times New Roman" w:hAnsi="Times New Roman" w:cs="Times New Roman"/>
          <w:b/>
          <w:bCs/>
          <w:sz w:val="20"/>
          <w:szCs w:val="20"/>
        </w:rPr>
        <w:t xml:space="preserve"> изменениями и дополнениями от </w:t>
      </w:r>
      <w:r w:rsidR="009E7DCE" w:rsidRPr="009E7DCE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354784" w:rsidRPr="003547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DCE">
        <w:rPr>
          <w:rFonts w:ascii="Times New Roman" w:hAnsi="Times New Roman" w:cs="Times New Roman"/>
          <w:b/>
          <w:bCs/>
          <w:sz w:val="20"/>
          <w:szCs w:val="20"/>
        </w:rPr>
        <w:t>октябр</w:t>
      </w:r>
      <w:r w:rsidR="00DE0B0F">
        <w:rPr>
          <w:rFonts w:ascii="Times New Roman" w:hAnsi="Times New Roman" w:cs="Times New Roman"/>
          <w:b/>
          <w:bCs/>
          <w:sz w:val="20"/>
          <w:szCs w:val="20"/>
        </w:rPr>
        <w:t xml:space="preserve">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354784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DF741D" w:rsidRPr="00463A04" w:rsidRDefault="00DF741D" w:rsidP="000871E3">
      <w:pPr>
        <w:pStyle w:val="a7"/>
        <w:jc w:val="both"/>
        <w:rPr>
          <w:b w:val="0"/>
          <w:sz w:val="20"/>
        </w:rPr>
      </w:pPr>
      <w:r w:rsidRPr="006068DF">
        <w:rPr>
          <w:b w:val="0"/>
          <w:sz w:val="20"/>
        </w:rPr>
        <w:t xml:space="preserve">          </w:t>
      </w:r>
      <w:r w:rsidR="00987C2B" w:rsidRPr="004A7E2D">
        <w:rPr>
          <w:b w:val="0"/>
          <w:sz w:val="20"/>
        </w:rPr>
        <w:tab/>
      </w:r>
      <w:r w:rsidRPr="006068DF">
        <w:rPr>
          <w:b w:val="0"/>
          <w:sz w:val="20"/>
        </w:rPr>
        <w:t>Проектная</w:t>
      </w:r>
      <w:r w:rsidR="00482555" w:rsidRPr="006068DF">
        <w:rPr>
          <w:b w:val="0"/>
          <w:sz w:val="20"/>
        </w:rPr>
        <w:t xml:space="preserve"> декларация</w:t>
      </w:r>
      <w:r w:rsidRPr="006068DF">
        <w:rPr>
          <w:b w:val="0"/>
          <w:sz w:val="20"/>
        </w:rPr>
        <w:t xml:space="preserve"> </w:t>
      </w:r>
      <w:r w:rsidR="00BB458F">
        <w:rPr>
          <w:b w:val="0"/>
          <w:sz w:val="20"/>
        </w:rPr>
        <w:t>–</w:t>
      </w:r>
      <w:r w:rsidR="00482555" w:rsidRPr="006068DF">
        <w:rPr>
          <w:b w:val="0"/>
          <w:sz w:val="20"/>
        </w:rPr>
        <w:t xml:space="preserve"> </w:t>
      </w:r>
      <w:r w:rsidR="002411AD" w:rsidRPr="002411AD">
        <w:rPr>
          <w:b w:val="0"/>
          <w:sz w:val="20"/>
        </w:rPr>
        <w:t xml:space="preserve">строительство </w:t>
      </w:r>
      <w:r w:rsidR="008554DB">
        <w:rPr>
          <w:b w:val="0"/>
          <w:sz w:val="20"/>
        </w:rPr>
        <w:t>многоквартирного</w:t>
      </w:r>
      <w:r w:rsidR="002411AD" w:rsidRPr="002411AD">
        <w:rPr>
          <w:b w:val="0"/>
          <w:sz w:val="20"/>
        </w:rPr>
        <w:t xml:space="preserve"> дома с</w:t>
      </w:r>
      <w:r w:rsidR="008554DB">
        <w:rPr>
          <w:b w:val="0"/>
          <w:sz w:val="20"/>
        </w:rPr>
        <w:t xml:space="preserve">о встроенными помещениями  </w:t>
      </w:r>
      <w:r w:rsidR="002411AD" w:rsidRPr="002411AD">
        <w:rPr>
          <w:b w:val="0"/>
          <w:sz w:val="20"/>
        </w:rPr>
        <w:t xml:space="preserve"> общественного назначения</w:t>
      </w:r>
      <w:r w:rsidR="008554DB">
        <w:rPr>
          <w:b w:val="0"/>
          <w:sz w:val="20"/>
        </w:rPr>
        <w:t xml:space="preserve"> и подземной автостоянкой,</w:t>
      </w:r>
      <w:r w:rsidR="006068DF" w:rsidRPr="00315BD8">
        <w:rPr>
          <w:b w:val="0"/>
          <w:sz w:val="20"/>
        </w:rPr>
        <w:t xml:space="preserve"> </w:t>
      </w:r>
      <w:r w:rsidR="00EE5AB4" w:rsidRPr="00315BD8">
        <w:rPr>
          <w:b w:val="0"/>
          <w:sz w:val="20"/>
        </w:rPr>
        <w:t>расположенного по а</w:t>
      </w:r>
      <w:r w:rsidR="00B303DE" w:rsidRPr="00315BD8">
        <w:rPr>
          <w:b w:val="0"/>
          <w:sz w:val="20"/>
        </w:rPr>
        <w:t xml:space="preserve">дресу: Новосибирская область, </w:t>
      </w:r>
      <w:r w:rsidR="002411AD" w:rsidRPr="00315BD8">
        <w:rPr>
          <w:b w:val="0"/>
          <w:sz w:val="20"/>
        </w:rPr>
        <w:t xml:space="preserve"> </w:t>
      </w:r>
      <w:r w:rsidR="00B303DE" w:rsidRPr="00315BD8">
        <w:rPr>
          <w:b w:val="0"/>
          <w:sz w:val="20"/>
        </w:rPr>
        <w:t>г</w:t>
      </w:r>
      <w:r w:rsidR="00E4684B" w:rsidRPr="00315BD8">
        <w:rPr>
          <w:b w:val="0"/>
          <w:sz w:val="20"/>
        </w:rPr>
        <w:t>.</w:t>
      </w:r>
      <w:r w:rsidR="00EE5AB4" w:rsidRPr="00315BD8">
        <w:rPr>
          <w:b w:val="0"/>
          <w:sz w:val="20"/>
        </w:rPr>
        <w:t xml:space="preserve"> Новосибирск, </w:t>
      </w:r>
      <w:r w:rsidR="00037115" w:rsidRPr="00315BD8">
        <w:rPr>
          <w:b w:val="0"/>
          <w:sz w:val="20"/>
        </w:rPr>
        <w:t xml:space="preserve"> </w:t>
      </w:r>
      <w:r w:rsidR="00463A04">
        <w:rPr>
          <w:b w:val="0"/>
          <w:sz w:val="20"/>
        </w:rPr>
        <w:t>Калининский район</w:t>
      </w:r>
      <w:r w:rsidR="00B303DE" w:rsidRPr="00315BD8">
        <w:rPr>
          <w:b w:val="0"/>
          <w:sz w:val="20"/>
        </w:rPr>
        <w:t>, ул</w:t>
      </w:r>
      <w:r w:rsidR="006E5C4B" w:rsidRPr="00315BD8">
        <w:rPr>
          <w:b w:val="0"/>
          <w:sz w:val="20"/>
        </w:rPr>
        <w:t>.</w:t>
      </w:r>
      <w:r w:rsidR="00B303DE" w:rsidRPr="00315BD8">
        <w:rPr>
          <w:b w:val="0"/>
          <w:sz w:val="20"/>
        </w:rPr>
        <w:t xml:space="preserve"> </w:t>
      </w:r>
      <w:r w:rsidR="00463A04">
        <w:rPr>
          <w:b w:val="0"/>
          <w:sz w:val="20"/>
        </w:rPr>
        <w:t>Армавирская</w:t>
      </w:r>
      <w:r w:rsidR="00B7426A" w:rsidRPr="00315BD8">
        <w:rPr>
          <w:b w:val="0"/>
          <w:sz w:val="20"/>
        </w:rPr>
        <w:t xml:space="preserve">, </w:t>
      </w:r>
      <w:r w:rsidR="00463A04">
        <w:rPr>
          <w:b w:val="0"/>
          <w:sz w:val="20"/>
        </w:rPr>
        <w:t>32</w:t>
      </w:r>
      <w:r w:rsidR="00236E20">
        <w:rPr>
          <w:b w:val="0"/>
          <w:sz w:val="20"/>
        </w:rPr>
        <w:t xml:space="preserve"> стр.</w:t>
      </w:r>
      <w:r w:rsidR="00037115" w:rsidRPr="00315BD8">
        <w:rPr>
          <w:b w:val="0"/>
          <w:color w:val="FF0000"/>
          <w:sz w:val="20"/>
        </w:rPr>
        <w:t xml:space="preserve"> </w:t>
      </w:r>
      <w:r w:rsidRPr="00315BD8">
        <w:rPr>
          <w:b w:val="0"/>
          <w:sz w:val="20"/>
        </w:rPr>
        <w:t>утверждена Застройщиком и размещена в сети «</w:t>
      </w:r>
      <w:r w:rsidRPr="00CA0707">
        <w:rPr>
          <w:b w:val="0"/>
          <w:sz w:val="20"/>
          <w:lang w:val="en-US"/>
        </w:rPr>
        <w:t>Internet</w:t>
      </w:r>
      <w:r w:rsidRPr="00CA0707">
        <w:rPr>
          <w:b w:val="0"/>
          <w:sz w:val="20"/>
        </w:rPr>
        <w:t xml:space="preserve">» </w:t>
      </w:r>
      <w:r w:rsidR="00EB4412" w:rsidRPr="00CA0707">
        <w:rPr>
          <w:b w:val="0"/>
          <w:sz w:val="20"/>
        </w:rPr>
        <w:t>«</w:t>
      </w:r>
      <w:r w:rsidR="00D54DE7" w:rsidRPr="00D54DE7">
        <w:rPr>
          <w:b w:val="0"/>
          <w:sz w:val="20"/>
        </w:rPr>
        <w:t>01</w:t>
      </w:r>
      <w:r w:rsidR="00463A04">
        <w:rPr>
          <w:b w:val="0"/>
          <w:sz w:val="20"/>
        </w:rPr>
        <w:t xml:space="preserve"> </w:t>
      </w:r>
      <w:r w:rsidR="00EB4412" w:rsidRPr="00CA0707">
        <w:rPr>
          <w:b w:val="0"/>
          <w:sz w:val="20"/>
        </w:rPr>
        <w:t>»</w:t>
      </w:r>
      <w:r w:rsidR="00482555" w:rsidRPr="00CA0707">
        <w:rPr>
          <w:b w:val="0"/>
          <w:sz w:val="20"/>
        </w:rPr>
        <w:t xml:space="preserve"> </w:t>
      </w:r>
      <w:r w:rsidR="00463A04">
        <w:rPr>
          <w:b w:val="0"/>
          <w:sz w:val="20"/>
        </w:rPr>
        <w:t xml:space="preserve"> июля</w:t>
      </w:r>
      <w:r w:rsidRPr="00CA0707">
        <w:rPr>
          <w:b w:val="0"/>
          <w:sz w:val="20"/>
        </w:rPr>
        <w:t xml:space="preserve"> 2</w:t>
      </w:r>
      <w:r w:rsidR="00B7426A" w:rsidRPr="00CA0707">
        <w:rPr>
          <w:b w:val="0"/>
          <w:sz w:val="20"/>
        </w:rPr>
        <w:t>01</w:t>
      </w:r>
      <w:r w:rsidR="00463A04" w:rsidRPr="00463A04">
        <w:rPr>
          <w:b w:val="0"/>
          <w:sz w:val="20"/>
        </w:rPr>
        <w:t>5</w:t>
      </w:r>
      <w:r w:rsidRPr="00CA0707">
        <w:rPr>
          <w:b w:val="0"/>
          <w:sz w:val="20"/>
        </w:rPr>
        <w:t xml:space="preserve"> года по адресу </w:t>
      </w:r>
      <w:r w:rsidR="00482555" w:rsidRPr="00463A04">
        <w:rPr>
          <w:b w:val="0"/>
          <w:sz w:val="20"/>
          <w:lang w:val="en-US"/>
        </w:rPr>
        <w:t>www</w:t>
      </w:r>
      <w:r w:rsidR="00482555" w:rsidRPr="00463A04">
        <w:rPr>
          <w:b w:val="0"/>
          <w:sz w:val="20"/>
        </w:rPr>
        <w:t>.</w:t>
      </w:r>
      <w:r w:rsidR="00463A04">
        <w:rPr>
          <w:b w:val="0"/>
          <w:sz w:val="20"/>
          <w:lang w:val="en-US"/>
        </w:rPr>
        <w:t>imperia</w:t>
      </w:r>
      <w:r w:rsidR="00463A04" w:rsidRPr="00463A04">
        <w:rPr>
          <w:b w:val="0"/>
          <w:sz w:val="20"/>
        </w:rPr>
        <w:t>-</w:t>
      </w:r>
      <w:proofErr w:type="spellStart"/>
      <w:r w:rsidR="00463A04">
        <w:rPr>
          <w:b w:val="0"/>
          <w:sz w:val="20"/>
          <w:lang w:val="en-US"/>
        </w:rPr>
        <w:t>zs</w:t>
      </w:r>
      <w:proofErr w:type="spellEnd"/>
      <w:r w:rsidR="00463A04" w:rsidRPr="00463A04">
        <w:rPr>
          <w:b w:val="0"/>
          <w:sz w:val="20"/>
        </w:rPr>
        <w:t>.</w:t>
      </w:r>
      <w:proofErr w:type="spellStart"/>
      <w:r w:rsidR="00463A04">
        <w:rPr>
          <w:b w:val="0"/>
          <w:sz w:val="20"/>
          <w:lang w:val="en-US"/>
        </w:rPr>
        <w:t>ru</w:t>
      </w:r>
      <w:proofErr w:type="spellEnd"/>
    </w:p>
    <w:p w:rsidR="00B7426A" w:rsidRPr="00CA0707" w:rsidRDefault="00DF741D" w:rsidP="000871E3">
      <w:pPr>
        <w:pStyle w:val="a7"/>
        <w:ind w:firstLine="708"/>
        <w:jc w:val="both"/>
        <w:rPr>
          <w:b w:val="0"/>
          <w:bCs w:val="0"/>
          <w:sz w:val="20"/>
          <w:lang w:eastAsia="en-US"/>
        </w:rPr>
      </w:pPr>
      <w:r w:rsidRPr="00CA0707">
        <w:rPr>
          <w:sz w:val="20"/>
        </w:rPr>
        <w:t>Объе</w:t>
      </w:r>
      <w:proofErr w:type="gramStart"/>
      <w:r w:rsidRPr="00CA0707">
        <w:rPr>
          <w:sz w:val="20"/>
        </w:rPr>
        <w:t>кт стр</w:t>
      </w:r>
      <w:proofErr w:type="gramEnd"/>
      <w:r w:rsidRPr="00CA0707">
        <w:rPr>
          <w:sz w:val="20"/>
        </w:rPr>
        <w:t>оительства</w:t>
      </w:r>
      <w:r w:rsidR="00B7426A" w:rsidRPr="00CA0707">
        <w:rPr>
          <w:sz w:val="20"/>
        </w:rPr>
        <w:t xml:space="preserve"> - </w:t>
      </w:r>
      <w:r w:rsidR="009249FC">
        <w:rPr>
          <w:b w:val="0"/>
          <w:sz w:val="20"/>
        </w:rPr>
        <w:t>строительство много</w:t>
      </w:r>
      <w:r w:rsidR="0089514D">
        <w:rPr>
          <w:b w:val="0"/>
          <w:sz w:val="20"/>
        </w:rPr>
        <w:t>квартирного</w:t>
      </w:r>
      <w:r w:rsidR="001533D6" w:rsidRPr="00CA0707">
        <w:rPr>
          <w:b w:val="0"/>
          <w:sz w:val="20"/>
        </w:rPr>
        <w:t xml:space="preserve"> жилого дома с помещениями обществ</w:t>
      </w:r>
      <w:r w:rsidR="007D2AF9" w:rsidRPr="00CA0707">
        <w:rPr>
          <w:b w:val="0"/>
          <w:sz w:val="20"/>
        </w:rPr>
        <w:t>енного назн</w:t>
      </w:r>
      <w:r w:rsidR="009249FC">
        <w:rPr>
          <w:b w:val="0"/>
          <w:sz w:val="20"/>
        </w:rPr>
        <w:t>ачения, с</w:t>
      </w:r>
      <w:r w:rsidR="001533D6" w:rsidRPr="00CA0707">
        <w:rPr>
          <w:b w:val="0"/>
          <w:sz w:val="20"/>
        </w:rPr>
        <w:t xml:space="preserve"> подземной автостоянкой, трансформаторной подстанци</w:t>
      </w:r>
      <w:r w:rsidR="0089514D">
        <w:rPr>
          <w:b w:val="0"/>
          <w:sz w:val="20"/>
        </w:rPr>
        <w:t>ей</w:t>
      </w:r>
      <w:r w:rsidR="001533D6" w:rsidRPr="00CA0707">
        <w:rPr>
          <w:b w:val="0"/>
          <w:sz w:val="20"/>
        </w:rPr>
        <w:t>, расположенного по адресу: Новосибирская област</w:t>
      </w:r>
      <w:r w:rsidR="00463A04">
        <w:rPr>
          <w:b w:val="0"/>
          <w:sz w:val="20"/>
        </w:rPr>
        <w:t>ь,  г. Новосибирск,  Калининский</w:t>
      </w:r>
      <w:r w:rsidR="001533D6" w:rsidRPr="00CA0707">
        <w:rPr>
          <w:b w:val="0"/>
          <w:sz w:val="20"/>
        </w:rPr>
        <w:t xml:space="preserve">  район, ул. </w:t>
      </w:r>
      <w:r w:rsidR="00463A04">
        <w:rPr>
          <w:b w:val="0"/>
          <w:sz w:val="20"/>
        </w:rPr>
        <w:t>Армавирская</w:t>
      </w:r>
      <w:r w:rsidR="00987C2B" w:rsidRPr="00CA0707">
        <w:rPr>
          <w:b w:val="0"/>
          <w:sz w:val="20"/>
        </w:rPr>
        <w:t>,</w:t>
      </w:r>
      <w:r w:rsidR="00B7426A" w:rsidRPr="00CA0707">
        <w:rPr>
          <w:b w:val="0"/>
          <w:bCs w:val="0"/>
          <w:sz w:val="20"/>
          <w:lang w:eastAsia="en-US"/>
        </w:rPr>
        <w:t xml:space="preserve"> </w:t>
      </w:r>
      <w:r w:rsidR="00463A04">
        <w:rPr>
          <w:b w:val="0"/>
          <w:bCs w:val="0"/>
          <w:sz w:val="20"/>
          <w:lang w:eastAsia="en-US"/>
        </w:rPr>
        <w:t>32</w:t>
      </w:r>
      <w:r w:rsidR="00236E20">
        <w:rPr>
          <w:b w:val="0"/>
          <w:bCs w:val="0"/>
          <w:sz w:val="20"/>
          <w:lang w:eastAsia="en-US"/>
        </w:rPr>
        <w:t xml:space="preserve"> стр.,</w:t>
      </w:r>
      <w:r w:rsidR="00B7426A" w:rsidRPr="00CA0707">
        <w:rPr>
          <w:b w:val="0"/>
          <w:bCs w:val="0"/>
          <w:sz w:val="20"/>
          <w:lang w:eastAsia="en-US"/>
        </w:rPr>
        <w:t xml:space="preserve"> </w:t>
      </w:r>
    </w:p>
    <w:p w:rsidR="007811EE" w:rsidRPr="00CA0707" w:rsidRDefault="00DF741D" w:rsidP="00087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707">
        <w:rPr>
          <w:rFonts w:ascii="Times New Roman" w:hAnsi="Times New Roman" w:cs="Times New Roman"/>
          <w:sz w:val="20"/>
          <w:szCs w:val="20"/>
        </w:rPr>
        <w:t xml:space="preserve">Дата размещения проектной декларации: </w:t>
      </w:r>
      <w:r w:rsidR="00EB4412" w:rsidRPr="00CA0707">
        <w:rPr>
          <w:rFonts w:ascii="Times New Roman" w:hAnsi="Times New Roman" w:cs="Times New Roman"/>
          <w:sz w:val="20"/>
          <w:szCs w:val="20"/>
        </w:rPr>
        <w:t>«</w:t>
      </w:r>
      <w:r w:rsidR="00463A04">
        <w:rPr>
          <w:rFonts w:ascii="Times New Roman" w:hAnsi="Times New Roman" w:cs="Times New Roman"/>
          <w:sz w:val="20"/>
          <w:szCs w:val="20"/>
        </w:rPr>
        <w:t xml:space="preserve"> </w:t>
      </w:r>
      <w:r w:rsidR="00D54DE7" w:rsidRPr="00D54DE7">
        <w:rPr>
          <w:rFonts w:ascii="Times New Roman" w:hAnsi="Times New Roman" w:cs="Times New Roman"/>
          <w:sz w:val="20"/>
          <w:szCs w:val="20"/>
        </w:rPr>
        <w:t>01</w:t>
      </w:r>
      <w:r w:rsidR="009249FC">
        <w:rPr>
          <w:rFonts w:ascii="Times New Roman" w:hAnsi="Times New Roman" w:cs="Times New Roman"/>
          <w:sz w:val="20"/>
          <w:szCs w:val="20"/>
        </w:rPr>
        <w:t xml:space="preserve"> </w:t>
      </w:r>
      <w:r w:rsidR="00EB4412" w:rsidRPr="00CA0707">
        <w:rPr>
          <w:rFonts w:ascii="Times New Roman" w:hAnsi="Times New Roman" w:cs="Times New Roman"/>
          <w:sz w:val="20"/>
          <w:szCs w:val="20"/>
        </w:rPr>
        <w:t>»</w:t>
      </w:r>
      <w:r w:rsidR="00463A04">
        <w:rPr>
          <w:rFonts w:ascii="Times New Roman" w:hAnsi="Times New Roman" w:cs="Times New Roman"/>
          <w:sz w:val="20"/>
          <w:szCs w:val="20"/>
        </w:rPr>
        <w:t xml:space="preserve"> июля</w:t>
      </w:r>
      <w:r w:rsidR="00B7426A" w:rsidRPr="00CA0707">
        <w:rPr>
          <w:rFonts w:ascii="Times New Roman" w:hAnsi="Times New Roman" w:cs="Times New Roman"/>
          <w:sz w:val="20"/>
          <w:szCs w:val="20"/>
        </w:rPr>
        <w:t xml:space="preserve"> 201</w:t>
      </w:r>
      <w:r w:rsidR="00463A04">
        <w:rPr>
          <w:rFonts w:ascii="Times New Roman" w:hAnsi="Times New Roman" w:cs="Times New Roman"/>
          <w:sz w:val="20"/>
          <w:szCs w:val="20"/>
        </w:rPr>
        <w:t>5</w:t>
      </w:r>
      <w:r w:rsidRPr="00CA0707">
        <w:rPr>
          <w:rFonts w:ascii="Times New Roman" w:hAnsi="Times New Roman" w:cs="Times New Roman"/>
          <w:sz w:val="20"/>
          <w:szCs w:val="20"/>
        </w:rPr>
        <w:t xml:space="preserve"> года</w:t>
      </w:r>
      <w:r w:rsidR="007811EE">
        <w:rPr>
          <w:rFonts w:ascii="Times New Roman" w:hAnsi="Times New Roman" w:cs="Times New Roman"/>
          <w:sz w:val="20"/>
          <w:szCs w:val="20"/>
        </w:rPr>
        <w:t>.</w:t>
      </w:r>
    </w:p>
    <w:p w:rsidR="00DF741D" w:rsidRPr="00B7426A" w:rsidRDefault="00DF741D" w:rsidP="000871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5BD8">
        <w:rPr>
          <w:rFonts w:ascii="Times New Roman" w:hAnsi="Times New Roman" w:cs="Times New Roman"/>
          <w:b/>
          <w:bCs/>
          <w:sz w:val="20"/>
          <w:szCs w:val="20"/>
        </w:rPr>
        <w:t>Информация о застройщике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8"/>
        <w:gridCol w:w="5762"/>
      </w:tblGrid>
      <w:tr w:rsidR="00DF741D" w:rsidRPr="00E96099">
        <w:trPr>
          <w:trHeight w:val="376"/>
        </w:trPr>
        <w:tc>
          <w:tcPr>
            <w:tcW w:w="4978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1. Фирменное наименование застройщика</w:t>
            </w:r>
          </w:p>
        </w:tc>
        <w:tc>
          <w:tcPr>
            <w:tcW w:w="5762" w:type="dxa"/>
            <w:vAlign w:val="center"/>
          </w:tcPr>
          <w:p w:rsidR="00DF741D" w:rsidRPr="00E96099" w:rsidRDefault="00762AF7" w:rsidP="0085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463A04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741D" w:rsidRPr="00E96099">
        <w:tc>
          <w:tcPr>
            <w:tcW w:w="4978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2. Место</w:t>
            </w:r>
            <w:r w:rsidR="007F7696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</w:t>
            </w: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  <w:tc>
          <w:tcPr>
            <w:tcW w:w="5762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Юридический адрес (фактический адрес):</w:t>
            </w:r>
          </w:p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630099</w:t>
            </w:r>
            <w:r w:rsidR="004A7E2D" w:rsidRPr="00E960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7E2D" w:rsidRPr="00E67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5C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A7E2D">
              <w:rPr>
                <w:rFonts w:ascii="Times New Roman" w:hAnsi="Times New Roman" w:cs="Times New Roman"/>
                <w:sz w:val="20"/>
                <w:szCs w:val="20"/>
              </w:rPr>
              <w:t>, Новосибирская область</w:t>
            </w: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, г.</w:t>
            </w:r>
            <w:r w:rsidR="00855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Новосибирск,  Семьи Шамшиных, д. 24,</w:t>
            </w:r>
          </w:p>
          <w:p w:rsidR="00DF741D" w:rsidRPr="00E96099" w:rsidRDefault="00463A04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217-42-26</w:t>
            </w:r>
          </w:p>
        </w:tc>
      </w:tr>
      <w:tr w:rsidR="00DF741D" w:rsidRPr="00E96099">
        <w:tc>
          <w:tcPr>
            <w:tcW w:w="4978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3. Режим работы застройщика</w:t>
            </w:r>
          </w:p>
        </w:tc>
        <w:tc>
          <w:tcPr>
            <w:tcW w:w="5762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Общеустановленные рабочие дни с 9.00 до 18.00, обед с 13.00 до 14.00.</w:t>
            </w:r>
          </w:p>
        </w:tc>
      </w:tr>
      <w:tr w:rsidR="00DF741D" w:rsidRPr="00E96099">
        <w:tc>
          <w:tcPr>
            <w:tcW w:w="4978" w:type="dxa"/>
            <w:vAlign w:val="center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4. Государственная регистрация застройщика</w:t>
            </w:r>
          </w:p>
        </w:tc>
        <w:tc>
          <w:tcPr>
            <w:tcW w:w="5762" w:type="dxa"/>
            <w:vAlign w:val="center"/>
          </w:tcPr>
          <w:p w:rsidR="00375AF0" w:rsidRPr="00564EB3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463A04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4E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</w:t>
            </w:r>
            <w:r w:rsidR="00B31D8B"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191" w:rsidRPr="00564E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1C6B">
              <w:rPr>
                <w:rFonts w:ascii="Times New Roman" w:hAnsi="Times New Roman" w:cs="Times New Roman"/>
                <w:sz w:val="20"/>
                <w:szCs w:val="20"/>
              </w:rPr>
              <w:t>28» марта 2008</w:t>
            </w:r>
            <w:r w:rsidR="003A6DE8"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381C6B">
              <w:rPr>
                <w:rFonts w:ascii="Times New Roman" w:hAnsi="Times New Roman" w:cs="Times New Roman"/>
                <w:sz w:val="20"/>
                <w:szCs w:val="20"/>
              </w:rPr>
              <w:t>ИФНС по Центральному району г.</w:t>
            </w:r>
            <w:r w:rsidR="00686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C6B">
              <w:rPr>
                <w:rFonts w:ascii="Times New Roman" w:hAnsi="Times New Roman" w:cs="Times New Roman"/>
                <w:sz w:val="20"/>
                <w:szCs w:val="20"/>
              </w:rPr>
              <w:t>Новосибирска.</w:t>
            </w:r>
          </w:p>
          <w:p w:rsidR="00A617EA" w:rsidRPr="00564EB3" w:rsidRDefault="00375AF0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463A04">
              <w:rPr>
                <w:rFonts w:ascii="Times New Roman" w:hAnsi="Times New Roman" w:cs="Times New Roman"/>
                <w:sz w:val="20"/>
                <w:szCs w:val="20"/>
              </w:rPr>
              <w:t>1085406010381</w:t>
            </w:r>
          </w:p>
          <w:p w:rsidR="009D327D" w:rsidRPr="00564EB3" w:rsidRDefault="009D327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FB1191" w:rsidRPr="00564E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63A04">
              <w:rPr>
                <w:rFonts w:ascii="Times New Roman" w:hAnsi="Times New Roman" w:cs="Times New Roman"/>
                <w:sz w:val="20"/>
                <w:szCs w:val="20"/>
              </w:rPr>
              <w:t>06433830</w:t>
            </w:r>
          </w:p>
          <w:p w:rsidR="00DF741D" w:rsidRPr="00E96099" w:rsidRDefault="009D327D" w:rsidP="00564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EB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FB1191" w:rsidRPr="005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EB3" w:rsidRPr="00564EB3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DF741D" w:rsidRPr="00E96099">
        <w:tc>
          <w:tcPr>
            <w:tcW w:w="4978" w:type="dxa"/>
            <w:vAlign w:val="center"/>
          </w:tcPr>
          <w:p w:rsidR="00DF741D" w:rsidRPr="009D327D" w:rsidRDefault="00803836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5. Учредители (участники) </w:t>
            </w:r>
            <w:r w:rsidR="00DF741D" w:rsidRPr="009D327D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>, которые обладают пятью или более процентами голосов в органе управления юридического лица, с указанием фамилии, имени, отчества физического лица – учредителя (участника), а также процента голосов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, которым обладает каждый такой учредитель (участник) в органе управления юридического лица.</w:t>
            </w:r>
          </w:p>
        </w:tc>
        <w:tc>
          <w:tcPr>
            <w:tcW w:w="5762" w:type="dxa"/>
            <w:vAlign w:val="center"/>
          </w:tcPr>
          <w:p w:rsidR="00514F77" w:rsidRPr="009249FC" w:rsidRDefault="009249FC" w:rsidP="0051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Андамов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Низами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Талыбхан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100%</w:t>
            </w:r>
          </w:p>
        </w:tc>
      </w:tr>
      <w:tr w:rsidR="00DF741D" w:rsidRPr="00E96099" w:rsidTr="000871E3">
        <w:trPr>
          <w:trHeight w:val="2362"/>
        </w:trPr>
        <w:tc>
          <w:tcPr>
            <w:tcW w:w="4978" w:type="dxa"/>
            <w:vAlign w:val="center"/>
          </w:tcPr>
          <w:p w:rsidR="00DF741D" w:rsidRPr="009D327D" w:rsidRDefault="00DF741D" w:rsidP="001A6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>6. Проект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многоквартирных домов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 иных объектов недвижимости, в которых принимал участие застройщик в течение 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9D32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364CDA" w:rsidRPr="009D327D">
              <w:rPr>
                <w:rFonts w:ascii="Times New Roman" w:hAnsi="Times New Roman" w:cs="Times New Roman"/>
                <w:sz w:val="20"/>
                <w:szCs w:val="20"/>
              </w:rPr>
              <w:t>, предшествующих опубликованию проектной декларации</w:t>
            </w:r>
            <w:r w:rsidR="00037115" w:rsidRPr="009D327D">
              <w:rPr>
                <w:rFonts w:ascii="Times New Roman" w:hAnsi="Times New Roman" w:cs="Times New Roman"/>
                <w:sz w:val="20"/>
                <w:szCs w:val="20"/>
              </w:rPr>
              <w:t>, с указанием места нахождения указанных объектов недвижимости, сроков ввода в эксплуатацию в соответствии с проектной документацией и фактических сроков ввода в эксплуатацию.</w:t>
            </w:r>
          </w:p>
        </w:tc>
        <w:tc>
          <w:tcPr>
            <w:tcW w:w="5762" w:type="dxa"/>
            <w:vAlign w:val="center"/>
          </w:tcPr>
          <w:p w:rsidR="00DF741D" w:rsidRPr="001B3F32" w:rsidRDefault="001B3F32" w:rsidP="001A6E2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137B9" w:rsidRPr="00E96099" w:rsidTr="00D57051">
        <w:trPr>
          <w:trHeight w:val="2276"/>
        </w:trPr>
        <w:tc>
          <w:tcPr>
            <w:tcW w:w="4978" w:type="dxa"/>
            <w:vAlign w:val="center"/>
          </w:tcPr>
          <w:p w:rsidR="001137B9" w:rsidRPr="00E96099" w:rsidRDefault="001137B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7.  Лицензируемая деятельность, номер лицензии, срок ее действия, орган, выдавший лицензию, 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5762" w:type="dxa"/>
            <w:vAlign w:val="center"/>
          </w:tcPr>
          <w:p w:rsidR="001137B9" w:rsidRPr="00E96099" w:rsidRDefault="001137B9" w:rsidP="0008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Лицензирование деятельности застройщика не предусмотрено </w:t>
            </w:r>
            <w:proofErr w:type="gramStart"/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действующем</w:t>
            </w:r>
            <w:proofErr w:type="gramEnd"/>
            <w:r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РФ.</w:t>
            </w:r>
          </w:p>
        </w:tc>
      </w:tr>
      <w:tr w:rsidR="004A7E2D" w:rsidRPr="00315BD8">
        <w:tc>
          <w:tcPr>
            <w:tcW w:w="4978" w:type="dxa"/>
          </w:tcPr>
          <w:p w:rsidR="004A7E2D" w:rsidRPr="002D58DB" w:rsidRDefault="004A7E2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8DB">
              <w:rPr>
                <w:rFonts w:ascii="Times New Roman" w:hAnsi="Times New Roman" w:cs="Times New Roman"/>
                <w:sz w:val="20"/>
                <w:szCs w:val="20"/>
              </w:rPr>
              <w:t xml:space="preserve">8. Финансовый результат текущего года, </w:t>
            </w:r>
          </w:p>
          <w:p w:rsidR="004A7E2D" w:rsidRPr="002D58DB" w:rsidRDefault="004A7E2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8DB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кредиторской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дебиторской </w:t>
            </w:r>
            <w:r w:rsidRPr="002D58DB">
              <w:rPr>
                <w:rFonts w:ascii="Times New Roman" w:hAnsi="Times New Roman" w:cs="Times New Roman"/>
                <w:sz w:val="20"/>
                <w:szCs w:val="20"/>
              </w:rPr>
              <w:t>задолженности на день опубликования проектной декларации</w:t>
            </w:r>
          </w:p>
          <w:p w:rsidR="004A7E2D" w:rsidRPr="002D58DB" w:rsidRDefault="004A7E2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</w:tcPr>
          <w:p w:rsidR="004A7E2D" w:rsidRPr="007F26EE" w:rsidRDefault="004A7E2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E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текущего года:</w:t>
            </w:r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484" w:rsidRPr="00F9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84C" w:rsidRPr="007F2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05A" w:rsidRPr="007F26EE">
              <w:rPr>
                <w:rFonts w:ascii="Times New Roman" w:hAnsi="Times New Roman" w:cs="Times New Roman"/>
                <w:sz w:val="20"/>
                <w:szCs w:val="20"/>
              </w:rPr>
              <w:t>12 642</w:t>
            </w:r>
            <w:r w:rsidR="009249FC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4A7E2D" w:rsidRPr="007F26EE" w:rsidRDefault="004A7E2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E">
              <w:rPr>
                <w:rFonts w:ascii="Times New Roman" w:hAnsi="Times New Roman" w:cs="Times New Roman"/>
                <w:sz w:val="20"/>
                <w:szCs w:val="20"/>
              </w:rPr>
              <w:t>Размер дебиторской задолженности:</w:t>
            </w:r>
            <w:r w:rsidR="0001605A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     83 458</w:t>
            </w:r>
            <w:r w:rsidR="00D8584C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9FC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9FC" w:rsidRPr="007F26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E2D" w:rsidRPr="00315BD8" w:rsidRDefault="004A7E2D" w:rsidP="00D8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E">
              <w:rPr>
                <w:rFonts w:ascii="Times New Roman" w:hAnsi="Times New Roman" w:cs="Times New Roman"/>
                <w:sz w:val="20"/>
                <w:szCs w:val="20"/>
              </w:rPr>
              <w:t>Размер кредиторской задолженности:</w:t>
            </w:r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05A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 637 206</w:t>
            </w:r>
            <w:r w:rsidR="009249FC" w:rsidRPr="007F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BC2FBA" w:rsidRPr="007F2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741D" w:rsidRPr="009D327D" w:rsidRDefault="00DF741D" w:rsidP="000871E3">
      <w:pPr>
        <w:spacing w:line="240" w:lineRule="auto"/>
        <w:ind w:left="4536" w:hanging="45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27D">
        <w:rPr>
          <w:rFonts w:ascii="Times New Roman" w:hAnsi="Times New Roman" w:cs="Times New Roman"/>
          <w:b/>
          <w:bCs/>
          <w:sz w:val="20"/>
          <w:szCs w:val="20"/>
        </w:rPr>
        <w:t>Застройщик обязан предоставить для ознакомления любому обратившемуся лицу: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DF741D" w:rsidRPr="00E96099">
        <w:tc>
          <w:tcPr>
            <w:tcW w:w="10632" w:type="dxa"/>
          </w:tcPr>
          <w:p w:rsidR="004A7E2D" w:rsidRPr="00E96099" w:rsidRDefault="004A7E2D" w:rsidP="000871E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1.Учредительные документы застройщика;</w:t>
            </w:r>
          </w:p>
          <w:p w:rsidR="004A7E2D" w:rsidRPr="00E96099" w:rsidRDefault="004A7E2D" w:rsidP="000871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2. Свидетельство о государственной регистрации застройщика;</w:t>
            </w:r>
          </w:p>
          <w:p w:rsidR="004A7E2D" w:rsidRPr="00E96099" w:rsidRDefault="004A7E2D" w:rsidP="000871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3. Свидетельство о постановке на учет в налоговом органе;</w:t>
            </w:r>
          </w:p>
          <w:p w:rsidR="004A7E2D" w:rsidRPr="00C66F50" w:rsidRDefault="004A7E2D" w:rsidP="000871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Утвержденные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отчеты, бухгалтерскую отчетность за три последних года осуществления застройщиком предпринимательской деятельности</w:t>
            </w:r>
            <w:r w:rsidR="00C6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50" w:rsidRPr="00C66F50">
              <w:rPr>
                <w:rFonts w:ascii="Times New Roman" w:hAnsi="Times New Roman" w:cs="Times New Roman"/>
                <w:sz w:val="20"/>
                <w:szCs w:val="20"/>
              </w:rPr>
              <w:t>или при осуществлении застройщиком такой деятельности менее чем три года (за исключением регистров бухгалтерского учета)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</w:t>
            </w:r>
            <w:r w:rsidRPr="00C66F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F741D" w:rsidRPr="00E96099" w:rsidRDefault="004A7E2D" w:rsidP="000871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5. Аудиторское заключение за последний год осуществления застройщиком предпринимательской деятельности.</w:t>
            </w:r>
          </w:p>
        </w:tc>
      </w:tr>
    </w:tbl>
    <w:p w:rsidR="00DF741D" w:rsidRPr="002D58DB" w:rsidRDefault="00DF741D" w:rsidP="000871E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58DB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Информация о проекте строительства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811"/>
      </w:tblGrid>
      <w:tr w:rsidR="00DF741D" w:rsidRPr="00E96099" w:rsidTr="00166312">
        <w:tc>
          <w:tcPr>
            <w:tcW w:w="5070" w:type="dxa"/>
          </w:tcPr>
          <w:p w:rsidR="00DF741D" w:rsidRPr="00BB458F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58F">
              <w:rPr>
                <w:rFonts w:ascii="Times New Roman" w:hAnsi="Times New Roman" w:cs="Times New Roman"/>
                <w:sz w:val="20"/>
                <w:szCs w:val="20"/>
              </w:rPr>
              <w:t xml:space="preserve">1. Цель проекта строительства, этапы и сроки его реализации, результаты государственной экспертизы проектной документации </w:t>
            </w:r>
            <w:r w:rsidR="00825703" w:rsidRPr="00BB458F">
              <w:rPr>
                <w:rFonts w:ascii="Times New Roman" w:hAnsi="Times New Roman" w:cs="Times New Roman"/>
                <w:sz w:val="20"/>
                <w:szCs w:val="20"/>
              </w:rPr>
              <w:t>(если проведение такой экспертизы установлено федеральным законом)</w:t>
            </w:r>
          </w:p>
        </w:tc>
        <w:tc>
          <w:tcPr>
            <w:tcW w:w="5811" w:type="dxa"/>
          </w:tcPr>
          <w:p w:rsidR="00DF741D" w:rsidRPr="00C56953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53">
              <w:rPr>
                <w:rFonts w:ascii="Times New Roman" w:hAnsi="Times New Roman" w:cs="Times New Roman"/>
                <w:sz w:val="20"/>
                <w:szCs w:val="20"/>
              </w:rPr>
              <w:t>Цель проекта строительств</w:t>
            </w:r>
            <w:proofErr w:type="gramStart"/>
            <w:r w:rsidRPr="00C56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5AF0" w:rsidRPr="00C56953">
              <w:rPr>
                <w:rFonts w:ascii="Times New Roman" w:hAnsi="Times New Roman" w:cs="Times New Roman"/>
                <w:sz w:val="20"/>
              </w:rPr>
              <w:t>–</w:t>
            </w:r>
            <w:proofErr w:type="gramEnd"/>
            <w:r w:rsidR="00375AF0" w:rsidRPr="00C56953">
              <w:rPr>
                <w:rFonts w:ascii="Times New Roman" w:hAnsi="Times New Roman" w:cs="Times New Roman"/>
                <w:sz w:val="20"/>
              </w:rPr>
              <w:t xml:space="preserve"> строительство многоквартирного дома со встроенными помещениями   общественного назначения и подземной автостоянкой, расположенного по адресу: Новосибирская област</w:t>
            </w:r>
            <w:r w:rsidR="003B4315">
              <w:rPr>
                <w:rFonts w:ascii="Times New Roman" w:hAnsi="Times New Roman" w:cs="Times New Roman"/>
                <w:sz w:val="20"/>
              </w:rPr>
              <w:t>ь,  г. Новосибирск,  Калининский  район, ул. Армавирская, 32</w:t>
            </w:r>
            <w:r w:rsidR="00375AF0" w:rsidRPr="00C56953">
              <w:rPr>
                <w:rFonts w:ascii="Times New Roman" w:hAnsi="Times New Roman" w:cs="Times New Roman"/>
                <w:sz w:val="20"/>
              </w:rPr>
              <w:t xml:space="preserve"> стр</w:t>
            </w:r>
            <w:r w:rsidR="00236E20" w:rsidRPr="00C56953">
              <w:rPr>
                <w:rFonts w:ascii="Times New Roman" w:hAnsi="Times New Roman" w:cs="Times New Roman"/>
                <w:sz w:val="20"/>
              </w:rPr>
              <w:t>.</w:t>
            </w:r>
            <w:r w:rsidR="002411AD" w:rsidRPr="00C56953">
              <w:rPr>
                <w:rFonts w:ascii="Times New Roman" w:hAnsi="Times New Roman" w:cs="Times New Roman"/>
                <w:sz w:val="20"/>
              </w:rPr>
              <w:t xml:space="preserve"> Многоэтажный жилой дом </w:t>
            </w:r>
            <w:r w:rsidR="001F26F8"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</w:t>
            </w:r>
            <w:r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земельном участке с кадастровым номером </w:t>
            </w:r>
            <w:r w:rsidR="002411AD"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или условным номером: </w:t>
            </w:r>
            <w:r w:rsidR="00C56953" w:rsidRPr="00C56953">
              <w:rPr>
                <w:rFonts w:ascii="Times New Roman" w:hAnsi="Times New Roman" w:cs="Times New Roman"/>
                <w:sz w:val="20"/>
                <w:szCs w:val="20"/>
              </w:rPr>
              <w:t>54:35: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042440:74</w:t>
            </w:r>
            <w:r w:rsidRPr="00C56953">
              <w:rPr>
                <w:rFonts w:ascii="Times New Roman" w:hAnsi="Times New Roman" w:cs="Times New Roman"/>
                <w:sz w:val="20"/>
                <w:szCs w:val="20"/>
              </w:rPr>
              <w:t>, площадь участка</w:t>
            </w:r>
            <w:r w:rsidRPr="00C569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4666 кв.м</w:t>
            </w:r>
            <w:proofErr w:type="gramStart"/>
            <w:r w:rsidR="003B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1AD" w:rsidRPr="00C56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558C0"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41D" w:rsidRPr="00C56953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проекта - получение разрешения на ввод объекта в эксплуатацию -  </w:t>
            </w:r>
            <w:r w:rsidRPr="00C56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56953" w:rsidRPr="00C56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4394B"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E66" w:rsidRPr="00C56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58F" w:rsidRPr="00C56953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69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F741D" w:rsidRPr="00E96099" w:rsidRDefault="00A17CF1" w:rsidP="00720FC0">
            <w:pPr>
              <w:pStyle w:val="a7"/>
              <w:jc w:val="both"/>
              <w:rPr>
                <w:b w:val="0"/>
                <w:bCs w:val="0"/>
                <w:color w:val="FF0000"/>
                <w:sz w:val="20"/>
              </w:rPr>
            </w:pPr>
            <w:r w:rsidRPr="00C56953">
              <w:rPr>
                <w:b w:val="0"/>
                <w:sz w:val="20"/>
              </w:rPr>
              <w:t>Р</w:t>
            </w:r>
            <w:r w:rsidR="00DF741D" w:rsidRPr="00C56953">
              <w:rPr>
                <w:b w:val="0"/>
                <w:sz w:val="20"/>
              </w:rPr>
              <w:t xml:space="preserve">езультаты </w:t>
            </w:r>
            <w:r w:rsidR="00720FC0" w:rsidRPr="00C56953">
              <w:rPr>
                <w:b w:val="0"/>
                <w:sz w:val="20"/>
              </w:rPr>
              <w:t>не</w:t>
            </w:r>
            <w:r w:rsidR="00DF741D" w:rsidRPr="00C56953">
              <w:rPr>
                <w:b w:val="0"/>
                <w:sz w:val="20"/>
              </w:rPr>
              <w:t xml:space="preserve">государственной экспертизы проектной документации - положительное заключение </w:t>
            </w:r>
            <w:r w:rsidR="00720FC0" w:rsidRPr="00C56953">
              <w:rPr>
                <w:b w:val="0"/>
                <w:sz w:val="20"/>
              </w:rPr>
              <w:t>не</w:t>
            </w:r>
            <w:r w:rsidR="00DF741D" w:rsidRPr="00C56953">
              <w:rPr>
                <w:b w:val="0"/>
                <w:sz w:val="20"/>
              </w:rPr>
              <w:t>государственной экспертизы №</w:t>
            </w:r>
            <w:r w:rsidR="003B4315">
              <w:rPr>
                <w:b w:val="0"/>
                <w:sz w:val="20"/>
              </w:rPr>
              <w:t>2-1-1-0128-15</w:t>
            </w:r>
            <w:r w:rsidR="00DF741D" w:rsidRPr="00C56953">
              <w:rPr>
                <w:b w:val="0"/>
                <w:sz w:val="20"/>
              </w:rPr>
              <w:t xml:space="preserve"> </w:t>
            </w:r>
            <w:r w:rsidR="00720FC0" w:rsidRPr="00C56953">
              <w:rPr>
                <w:b w:val="0"/>
                <w:sz w:val="20"/>
              </w:rPr>
              <w:t>ООО «Негосударств</w:t>
            </w:r>
            <w:r w:rsidR="003B4315">
              <w:rPr>
                <w:b w:val="0"/>
                <w:sz w:val="20"/>
              </w:rPr>
              <w:t>енная экспертиза проектов» от «17» июня 2015</w:t>
            </w:r>
            <w:r w:rsidR="00720FC0" w:rsidRPr="00C56953">
              <w:rPr>
                <w:b w:val="0"/>
                <w:sz w:val="20"/>
              </w:rPr>
              <w:t xml:space="preserve"> года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BB458F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8F">
              <w:rPr>
                <w:rFonts w:ascii="Times New Roman" w:hAnsi="Times New Roman" w:cs="Times New Roman"/>
                <w:sz w:val="20"/>
                <w:szCs w:val="20"/>
              </w:rPr>
              <w:t>2. Разрешение на строительство</w:t>
            </w:r>
          </w:p>
        </w:tc>
        <w:tc>
          <w:tcPr>
            <w:tcW w:w="5811" w:type="dxa"/>
          </w:tcPr>
          <w:p w:rsidR="003B4315" w:rsidRPr="009E7DCE" w:rsidRDefault="004916C7" w:rsidP="003B4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CF1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  <w:r w:rsidRPr="00E960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64E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proofErr w:type="spellStart"/>
            <w:r w:rsidRPr="00F0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987C2B" w:rsidRPr="00F03E66">
              <w:rPr>
                <w:rFonts w:ascii="Times New Roman" w:hAnsi="Times New Roman" w:cs="Times New Roman"/>
                <w:sz w:val="20"/>
                <w:szCs w:val="20"/>
              </w:rPr>
              <w:t xml:space="preserve"> 54303000-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192-</w:t>
            </w:r>
            <w:r w:rsidR="00F0373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03E6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375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03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3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315">
              <w:rPr>
                <w:rFonts w:ascii="Times New Roman" w:hAnsi="Times New Roman" w:cs="Times New Roman"/>
                <w:sz w:val="20"/>
                <w:szCs w:val="20"/>
              </w:rPr>
              <w:t>.2015 года</w:t>
            </w:r>
            <w:r w:rsidR="009E7DCE">
              <w:rPr>
                <w:rFonts w:ascii="Times New Roman" w:hAnsi="Times New Roman" w:cs="Times New Roman"/>
                <w:sz w:val="20"/>
                <w:szCs w:val="20"/>
              </w:rPr>
              <w:t>; № 54-</w:t>
            </w:r>
            <w:proofErr w:type="spellStart"/>
            <w:r w:rsidR="009E7D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9E7DCE">
              <w:rPr>
                <w:rFonts w:ascii="Times New Roman" w:hAnsi="Times New Roman" w:cs="Times New Roman"/>
                <w:sz w:val="20"/>
                <w:szCs w:val="20"/>
              </w:rPr>
              <w:t>54303000-192И1-2016 от 09.09.2016г.</w:t>
            </w:r>
          </w:p>
          <w:p w:rsidR="00DF741D" w:rsidRPr="00E96099" w:rsidRDefault="00DF741D" w:rsidP="00564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41D" w:rsidRPr="00E96099" w:rsidTr="00166312">
        <w:tc>
          <w:tcPr>
            <w:tcW w:w="5070" w:type="dxa"/>
          </w:tcPr>
          <w:p w:rsidR="00074D09" w:rsidRPr="003D6EDA" w:rsidRDefault="002A35B1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DA">
              <w:rPr>
                <w:rFonts w:ascii="Times New Roman" w:hAnsi="Times New Roman" w:cs="Times New Roman"/>
                <w:sz w:val="20"/>
                <w:szCs w:val="20"/>
              </w:rPr>
              <w:t>3. Права</w:t>
            </w:r>
            <w:r w:rsidR="00DF741D" w:rsidRPr="003D6EDA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 на земельный участок,</w:t>
            </w:r>
            <w:r w:rsidRPr="003D6E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 земельного участка в случае, если застройщик не является собственником, границы и площади земельного участка, </w:t>
            </w:r>
            <w:proofErr w:type="gramStart"/>
            <w:r w:rsidRPr="003D6EDA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3D6EDA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документацией, элементы благоустройства.  </w:t>
            </w:r>
            <w:r w:rsidR="00DF741D" w:rsidRPr="003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41D" w:rsidRPr="00E96099" w:rsidRDefault="00DF741D" w:rsidP="000871E3">
            <w:pPr>
              <w:tabs>
                <w:tab w:val="left" w:pos="3667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00D28" w:rsidRPr="00523C91" w:rsidRDefault="00100D28" w:rsidP="00100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6C74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принадлежит застройщику на праве </w:t>
            </w:r>
            <w:r w:rsidR="0067263E" w:rsidRPr="00523C9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, что подтверждается свидетельством</w:t>
            </w:r>
            <w:r w:rsidR="0063514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права  54АЕ 662780. Дата выдачи: 02.12.2014</w:t>
            </w:r>
            <w:r w:rsidR="0063514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  <w:proofErr w:type="gramStart"/>
            <w:r w:rsidR="00635143" w:rsidRPr="00523C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3B16" w:rsidRPr="00523C91">
              <w:rPr>
                <w:rFonts w:ascii="Times New Roman" w:hAnsi="Times New Roman" w:cs="Times New Roman"/>
                <w:sz w:val="20"/>
                <w:szCs w:val="20"/>
              </w:rPr>
              <w:t>а основании: дог</w:t>
            </w:r>
            <w:r w:rsidR="008F499F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овора купли-продажи недвижимости (с приложением) 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 xml:space="preserve">№14526 </w:t>
            </w:r>
            <w:r w:rsidR="00F73B16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8F499F" w:rsidRPr="00523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F73B16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>, договоров купли-продажи недвижимого имущества №1 от 23.10.2014, №2 от 23.10.2014, №3 от 23.10.2014,№4 от 30.10 2014, №5 от 30.10.2014, № 6 от 30.10.2014гг.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Объект права:</w:t>
            </w:r>
            <w:proofErr w:type="gramEnd"/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участок. Категория земель: земли населенных пунктов – многоквартирные 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 xml:space="preserve">19-25 этажные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дома, в том числе с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помещениями общественного назначения, автостоянками. Площадь:4666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кв.м. Адрес (местоположения): Новосибирская област</w:t>
            </w:r>
            <w:r w:rsidR="00C75A88">
              <w:rPr>
                <w:rFonts w:ascii="Times New Roman" w:hAnsi="Times New Roman" w:cs="Times New Roman"/>
                <w:sz w:val="20"/>
                <w:szCs w:val="20"/>
              </w:rPr>
              <w:t>ь, г. Новосибирск, ул. Армавирская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. Кадастровый или 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условный номер: 54:35:042440:74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, о чем в Едином государственном реестре на недвиж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имое имущество и сделок с ним 02.12.2014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года сделана 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запись регистрации №54-54-01/505/2014-124</w:t>
            </w:r>
          </w:p>
          <w:p w:rsidR="008E502E" w:rsidRPr="00523C91" w:rsidRDefault="008E502E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02E" w:rsidRPr="00523C91" w:rsidRDefault="008E502E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1A0D">
              <w:rPr>
                <w:rFonts w:ascii="Times New Roman" w:hAnsi="Times New Roman" w:cs="Times New Roman"/>
                <w:sz w:val="20"/>
                <w:szCs w:val="20"/>
              </w:rPr>
              <w:t>ри проектировании «Многоквартирного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 с помещениями общественного назначения» предусмотрены площадки для игр детей дошкольного возраста, площадки отдыха взрослых, хоз. площадки, площадки для занятий физкультурой, площадки для временного хранения личного автотранспорта, а также парковочные площадки для посетителей и сотрудников общественных помещений.</w:t>
            </w:r>
          </w:p>
          <w:p w:rsidR="0009508A" w:rsidRPr="00523C91" w:rsidRDefault="0009508A" w:rsidP="00475426">
            <w:pPr>
              <w:spacing w:after="0" w:line="240" w:lineRule="auto"/>
              <w:jc w:val="both"/>
              <w:rPr>
                <w:sz w:val="24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Проектом учтены требования СП 35-101-2001 «Проектирование зданий и сооружений с учетом доступа для маломобильных групп населения. Общие положения», СП 35-103-2001 «Жилая среда с планировочными элементами, доступными инвалидам», СП 35-103-2001 «Общественные здания и сооружения, доступные маломобильным посетителям» в части благоустройства территории. Вдоль основных проездов запроектированы тротуары с устройством пандусов для маломобильных групп населения. 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4. Местоположение</w:t>
            </w:r>
            <w:r w:rsidR="002A35B1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строящегося (</w:t>
            </w:r>
            <w:r w:rsidR="001E5CCB" w:rsidRPr="001934BB">
              <w:rPr>
                <w:rFonts w:ascii="Times New Roman" w:hAnsi="Times New Roman" w:cs="Times New Roman"/>
                <w:sz w:val="20"/>
                <w:szCs w:val="20"/>
              </w:rPr>
              <w:t>создаваемого</w:t>
            </w:r>
            <w:r w:rsidR="002A35B1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A2121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многоквартирного </w:t>
            </w:r>
            <w:r w:rsidR="002A35B1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дома и (или) иного объекта недвижимости и </w:t>
            </w:r>
            <w:r w:rsidR="00074D09" w:rsidRPr="001934B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2F579C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5B1" w:rsidRPr="001934BB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2F579C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подготовленное в соответствии с проектной документацией, на основании которой выдано разрешение на строительство </w:t>
            </w: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7441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Земельный участок, выделенный под строительство объе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кта, располагается в Калининском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районе города Новосиби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рска, ограничен улицами Кавалерийской – Армавирской</w:t>
            </w:r>
            <w:proofErr w:type="gramStart"/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––</w:t>
            </w:r>
            <w:proofErr w:type="gramEnd"/>
            <w:r w:rsidR="0089514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06DB5">
              <w:rPr>
                <w:rFonts w:ascii="Times New Roman" w:hAnsi="Times New Roman" w:cs="Times New Roman"/>
                <w:sz w:val="20"/>
                <w:szCs w:val="20"/>
              </w:rPr>
              <w:t>подромской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. Участок свободен от застройки и зеленых насаждений.</w:t>
            </w:r>
          </w:p>
          <w:p w:rsidR="0027441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Объект представляет собой двадцатипятиэтажное здание с</w:t>
            </w:r>
            <w:r w:rsidR="00ED1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двухуровневой подземной автостоянкой.</w:t>
            </w:r>
          </w:p>
          <w:p w:rsidR="0027441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со встроенными общественными помещениями в уровне первого этажа имеет прямоугольную форму в плане</w:t>
            </w:r>
          </w:p>
          <w:p w:rsidR="0027441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внешних габаритов объекта рассчитано на формирование впечатления пропорциональности. </w:t>
            </w:r>
            <w:proofErr w:type="gramStart"/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Внешняя отделка,</w:t>
            </w:r>
            <w:r w:rsidR="00ED1A0D">
              <w:rPr>
                <w:rFonts w:ascii="Times New Roman" w:hAnsi="Times New Roman" w:cs="Times New Roman"/>
                <w:sz w:val="20"/>
                <w:szCs w:val="20"/>
              </w:rPr>
              <w:t xml:space="preserve"> цветовая гамма, наличие витражей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, нацелены на создание выразительного облика и формирование гармоничной архитектурной среды.</w:t>
            </w:r>
            <w:proofErr w:type="gramEnd"/>
          </w:p>
          <w:p w:rsidR="0093564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В уровне первого этажа, в соответствии с заданием на проектирование, расп</w:t>
            </w:r>
            <w:r w:rsidR="003A6ECC">
              <w:rPr>
                <w:rFonts w:ascii="Times New Roman" w:hAnsi="Times New Roman" w:cs="Times New Roman"/>
                <w:sz w:val="20"/>
                <w:szCs w:val="20"/>
              </w:rPr>
              <w:t xml:space="preserve">оложена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входная группа в жилую часть</w:t>
            </w:r>
            <w:r w:rsidR="003A6ECC">
              <w:rPr>
                <w:rFonts w:ascii="Times New Roman" w:hAnsi="Times New Roman" w:cs="Times New Roman"/>
                <w:sz w:val="20"/>
                <w:szCs w:val="20"/>
              </w:rPr>
              <w:t xml:space="preserve"> дома, расположенную </w:t>
            </w:r>
            <w:r w:rsidR="00A47C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6ECC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по двадцать второй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этаж включительно, эвакуационные выходы из подвальной части здания, смежной с подземной автостоянкой, лифтовой блок.</w:t>
            </w:r>
          </w:p>
          <w:p w:rsidR="00C367E5" w:rsidRPr="00523C91" w:rsidRDefault="00ED1A0D" w:rsidP="00523C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 - общее количество – 4</w:t>
            </w:r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523C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>том числе 2 лиф</w:t>
            </w:r>
            <w:r w:rsidR="003A6ECC">
              <w:rPr>
                <w:rFonts w:ascii="Times New Roman" w:hAnsi="Times New Roman" w:cs="Times New Roman"/>
                <w:sz w:val="20"/>
                <w:szCs w:val="20"/>
              </w:rPr>
              <w:t>та грузоподъемностью 1000 кг и 2</w:t>
            </w:r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лифт</w:t>
            </w:r>
            <w:r w:rsidR="003A6ECC">
              <w:rPr>
                <w:rFonts w:ascii="Times New Roman" w:hAnsi="Times New Roman" w:cs="Times New Roman"/>
                <w:sz w:val="20"/>
                <w:szCs w:val="20"/>
              </w:rPr>
              <w:t>а  грузоподъемностью 400</w:t>
            </w:r>
            <w:r w:rsidR="00EF58E4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кг для жилой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423EBE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423E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составе строящегося </w:t>
            </w:r>
            <w:r w:rsidR="001E5CCB" w:rsidRPr="00423EBE">
              <w:rPr>
                <w:rFonts w:ascii="Times New Roman" w:hAnsi="Times New Roman" w:cs="Times New Roman"/>
                <w:sz w:val="20"/>
                <w:szCs w:val="20"/>
              </w:rPr>
              <w:t>(создаваемого) многоквартирного дома и (или) иного объекта недвижимости</w:t>
            </w:r>
            <w:r w:rsidR="00480B99" w:rsidRPr="00423EB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</w:t>
            </w:r>
            <w:r w:rsidR="000A2DB7" w:rsidRPr="00423EB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480B99" w:rsidRPr="00423EB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характеристик указанных самостоятельных частей в соответствии с проектной документацией</w:t>
            </w:r>
            <w:bookmarkStart w:id="0" w:name="_GoBack"/>
            <w:bookmarkEnd w:id="0"/>
            <w:proofErr w:type="gramEnd"/>
          </w:p>
        </w:tc>
        <w:tc>
          <w:tcPr>
            <w:tcW w:w="5811" w:type="dxa"/>
          </w:tcPr>
          <w:p w:rsidR="00423EBE" w:rsidRPr="00F73B16" w:rsidRDefault="002C00FE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Общее количество квартир в доме </w:t>
            </w:r>
            <w:r w:rsidR="00D90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="001F2AC9"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7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3B16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E9224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Однокомнатных – </w:t>
            </w:r>
            <w:r w:rsidR="00D900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  <w:r w:rsidR="00877D81"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F2AC9"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шт</w:t>
            </w:r>
            <w:r w:rsidR="003B6168" w:rsidRPr="00F73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34A4" w:rsidRPr="00F73B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534A4" w:rsidRPr="00F73B16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квартир:</w:t>
            </w:r>
          </w:p>
          <w:p w:rsidR="002E0712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шт. – 39,75 кв.м.</w:t>
            </w:r>
          </w:p>
          <w:p w:rsidR="00E92249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шт. – 37,52 кв.м.</w:t>
            </w:r>
          </w:p>
          <w:p w:rsidR="00E92249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шт. – 39,17 кв.м.</w:t>
            </w:r>
          </w:p>
          <w:p w:rsidR="00E92249" w:rsidRDefault="00D9003E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Однокомнатных  студий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-40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квартир</w:t>
            </w:r>
            <w:r w:rsidR="00E922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003E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</w:t>
            </w:r>
            <w:r w:rsidR="00D90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21,73 кв.м.</w:t>
            </w:r>
          </w:p>
          <w:p w:rsidR="00E92249" w:rsidRPr="00D9003E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шт. – 22,28 кв.м.</w:t>
            </w:r>
          </w:p>
          <w:p w:rsidR="00E9224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Двухкомнатных – </w:t>
            </w:r>
            <w:r w:rsidR="00D900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40 шт. </w:t>
            </w:r>
            <w:r w:rsidR="00E92249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квартир:</w:t>
            </w:r>
          </w:p>
          <w:p w:rsidR="00E92249" w:rsidRPr="00E92249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шт. – 64 кв.м.</w:t>
            </w:r>
          </w:p>
          <w:p w:rsidR="00116B3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Трехкомнатных  -</w:t>
            </w:r>
            <w:r w:rsidR="00D900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40</w:t>
            </w:r>
            <w:r w:rsidR="001F2AC9" w:rsidRPr="00F73B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шт</w:t>
            </w:r>
            <w:r w:rsidR="00D9003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="00D9003E" w:rsidRPr="0068696E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r w:rsidR="0068696E">
              <w:rPr>
                <w:rFonts w:ascii="Times New Roman" w:hAnsi="Times New Roman" w:cs="Times New Roman"/>
                <w:bCs/>
                <w:sz w:val="20"/>
                <w:szCs w:val="20"/>
              </w:rPr>
              <w:t>щая  площадь квартир</w:t>
            </w:r>
            <w:r w:rsidR="00E9224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92249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шт. – 82,43 кв.м.</w:t>
            </w:r>
          </w:p>
          <w:p w:rsidR="00E92249" w:rsidRPr="00116B39" w:rsidRDefault="00E92249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шт. – 89,76 кв.м. </w:t>
            </w:r>
          </w:p>
          <w:p w:rsidR="00A734A7" w:rsidRDefault="00C15161" w:rsidP="00523C9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6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Помещение общественного назначения </w:t>
            </w:r>
            <w:r w:rsidR="00A734A7" w:rsidRPr="00366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общей площадью </w:t>
            </w:r>
            <w:r w:rsidR="00280E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107</w:t>
            </w:r>
            <w:r w:rsidR="004D75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8,94</w:t>
            </w:r>
            <w:r w:rsidR="00280E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734A7" w:rsidRPr="00366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кв.м.</w:t>
            </w:r>
          </w:p>
          <w:p w:rsidR="00280EF3" w:rsidRDefault="00280EF3" w:rsidP="00523C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r w:rsidRPr="00280EF3">
              <w:rPr>
                <w:rFonts w:ascii="Times New Roman" w:hAnsi="Times New Roman" w:cs="Times New Roman"/>
                <w:sz w:val="20"/>
                <w:szCs w:val="20"/>
              </w:rPr>
              <w:t>спортивные клубы №1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EF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="00D1660E">
              <w:rPr>
                <w:rFonts w:ascii="Times New Roman" w:hAnsi="Times New Roman" w:cs="Times New Roman"/>
                <w:sz w:val="20"/>
                <w:szCs w:val="20"/>
              </w:rPr>
              <w:t xml:space="preserve">  -  </w:t>
            </w:r>
            <w:r w:rsidR="00D1660E" w:rsidRPr="00863504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  <w:r w:rsidRPr="00863504">
              <w:rPr>
                <w:rFonts w:ascii="Times New Roman" w:hAnsi="Times New Roman" w:cs="Times New Roman"/>
                <w:b/>
                <w:sz w:val="20"/>
                <w:szCs w:val="20"/>
              </w:rPr>
              <w:t>,42</w:t>
            </w:r>
            <w:r w:rsidRPr="0086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09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C09EA">
              <w:rPr>
                <w:rFonts w:ascii="Times New Roman" w:hAnsi="Times New Roman" w:cs="Times New Roman"/>
                <w:sz w:val="20"/>
                <w:szCs w:val="20"/>
              </w:rPr>
              <w:t>тренажерный зал, зал силовой подготовки, зал для настольного тенниса,</w:t>
            </w:r>
            <w:r w:rsidR="004D7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9EA">
              <w:rPr>
                <w:rFonts w:ascii="Times New Roman" w:hAnsi="Times New Roman" w:cs="Times New Roman"/>
                <w:sz w:val="20"/>
                <w:szCs w:val="20"/>
              </w:rPr>
              <w:t>бильярдная)</w:t>
            </w:r>
          </w:p>
          <w:p w:rsidR="00280EF3" w:rsidRPr="00280EF3" w:rsidRDefault="00280EF3" w:rsidP="00523C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помещения (офисы) </w:t>
            </w:r>
            <w:r w:rsidRPr="006F05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B7BDD" w:rsidRPr="006F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BDD" w:rsidRPr="00863504">
              <w:rPr>
                <w:rFonts w:ascii="Times New Roman" w:hAnsi="Times New Roman" w:cs="Times New Roman"/>
                <w:b/>
                <w:sz w:val="20"/>
                <w:szCs w:val="20"/>
              </w:rPr>
              <w:t>872,41</w:t>
            </w:r>
            <w:r w:rsidRPr="0086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366177" w:rsidRPr="00040434" w:rsidRDefault="00EE7F34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 w:rsidRPr="00040434">
              <w:rPr>
                <w:sz w:val="20"/>
                <w:szCs w:val="20"/>
              </w:rPr>
              <w:t>Помещение автостоянки</w:t>
            </w:r>
            <w:r w:rsidR="00280EF3">
              <w:rPr>
                <w:sz w:val="20"/>
                <w:szCs w:val="20"/>
              </w:rPr>
              <w:t xml:space="preserve"> на 13</w:t>
            </w:r>
            <w:r w:rsidR="00283ABF">
              <w:rPr>
                <w:sz w:val="20"/>
                <w:szCs w:val="20"/>
              </w:rPr>
              <w:t>2</w:t>
            </w:r>
            <w:r w:rsidR="00280EF3">
              <w:rPr>
                <w:sz w:val="20"/>
                <w:szCs w:val="20"/>
              </w:rPr>
              <w:t xml:space="preserve"> маш/мест</w:t>
            </w:r>
            <w:r w:rsidRPr="00040434">
              <w:rPr>
                <w:sz w:val="20"/>
                <w:szCs w:val="20"/>
              </w:rPr>
              <w:t xml:space="preserve"> </w:t>
            </w:r>
            <w:r w:rsidRPr="00040434">
              <w:rPr>
                <w:b w:val="0"/>
                <w:sz w:val="20"/>
                <w:szCs w:val="20"/>
              </w:rPr>
              <w:t xml:space="preserve">общей площадью </w:t>
            </w:r>
            <w:r w:rsidR="00280EF3">
              <w:rPr>
                <w:b w:val="0"/>
                <w:sz w:val="20"/>
                <w:szCs w:val="20"/>
              </w:rPr>
              <w:t>4196,28 кв.м. в</w:t>
            </w:r>
            <w:r w:rsidRPr="00040434">
              <w:rPr>
                <w:b w:val="0"/>
                <w:sz w:val="20"/>
                <w:szCs w:val="20"/>
              </w:rPr>
              <w:t xml:space="preserve">ключает в себя: </w:t>
            </w:r>
          </w:p>
          <w:p w:rsidR="00366177" w:rsidRDefault="00280EF3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на отметке -4.50</w:t>
            </w:r>
            <w:r w:rsidR="00106783" w:rsidRPr="00040434">
              <w:rPr>
                <w:b w:val="0"/>
                <w:sz w:val="20"/>
                <w:szCs w:val="20"/>
              </w:rPr>
              <w:t xml:space="preserve">0 </w:t>
            </w:r>
            <w:r w:rsidR="005931FE" w:rsidRPr="000404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-52</w:t>
            </w:r>
            <w:r w:rsidR="00040434" w:rsidRPr="00040434">
              <w:rPr>
                <w:b w:val="0"/>
                <w:sz w:val="20"/>
                <w:szCs w:val="20"/>
              </w:rPr>
              <w:t xml:space="preserve"> м/мест</w:t>
            </w:r>
            <w:proofErr w:type="gramStart"/>
            <w:r w:rsidR="005931FE" w:rsidRPr="00040434">
              <w:rPr>
                <w:b w:val="0"/>
                <w:sz w:val="20"/>
                <w:szCs w:val="20"/>
              </w:rPr>
              <w:t xml:space="preserve"> </w:t>
            </w:r>
            <w:r w:rsidR="0068655C">
              <w:rPr>
                <w:b w:val="0"/>
                <w:sz w:val="20"/>
                <w:szCs w:val="20"/>
              </w:rPr>
              <w:t>,</w:t>
            </w:r>
            <w:proofErr w:type="gramEnd"/>
            <w:r w:rsidR="0068655C">
              <w:rPr>
                <w:b w:val="0"/>
                <w:sz w:val="20"/>
                <w:szCs w:val="20"/>
              </w:rPr>
              <w:t xml:space="preserve"> на отметке -7,600 – 80</w:t>
            </w:r>
            <w:r>
              <w:rPr>
                <w:b w:val="0"/>
                <w:sz w:val="20"/>
                <w:szCs w:val="20"/>
              </w:rPr>
              <w:t xml:space="preserve"> маш/мест.</w:t>
            </w:r>
          </w:p>
          <w:p w:rsidR="00116B39" w:rsidRDefault="00116B39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 w:rsidRPr="00116B39">
              <w:rPr>
                <w:sz w:val="20"/>
                <w:szCs w:val="20"/>
                <w:u w:val="single"/>
              </w:rPr>
              <w:t>Внеквартирные помещения хозяйственного назначения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r w:rsidRPr="00283ABF">
              <w:rPr>
                <w:sz w:val="20"/>
                <w:szCs w:val="20"/>
                <w:u w:val="single"/>
              </w:rPr>
              <w:t>80 шт.</w:t>
            </w:r>
            <w:r>
              <w:rPr>
                <w:b w:val="0"/>
                <w:sz w:val="20"/>
                <w:szCs w:val="20"/>
              </w:rPr>
              <w:t xml:space="preserve"> Общая площадь внеквартирных поме</w:t>
            </w:r>
            <w:r w:rsidR="00E92249">
              <w:rPr>
                <w:b w:val="0"/>
                <w:sz w:val="20"/>
                <w:szCs w:val="20"/>
              </w:rPr>
              <w:t>щений хозяйственного назначения</w:t>
            </w:r>
            <w:r>
              <w:rPr>
                <w:b w:val="0"/>
                <w:sz w:val="20"/>
                <w:szCs w:val="20"/>
              </w:rPr>
              <w:t xml:space="preserve"> - 146,80 кв.м.</w:t>
            </w:r>
          </w:p>
          <w:p w:rsidR="00E92249" w:rsidRDefault="00E92249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шт. – 1,77 кв.м.</w:t>
            </w:r>
          </w:p>
          <w:p w:rsidR="00E92249" w:rsidRDefault="00E92249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шт. – 1,59 кв.м.</w:t>
            </w:r>
          </w:p>
          <w:p w:rsidR="00E92249" w:rsidRDefault="00E92249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шт. – 2,06 кв.м.</w:t>
            </w:r>
          </w:p>
          <w:p w:rsidR="00E92249" w:rsidRPr="00040434" w:rsidRDefault="00E92249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шт. – 1,92 кв.м.</w:t>
            </w:r>
          </w:p>
          <w:p w:rsidR="00366177" w:rsidRDefault="00366177" w:rsidP="000871E3">
            <w:pPr>
              <w:pStyle w:val="-"/>
              <w:ind w:left="0" w:firstLine="0"/>
              <w:rPr>
                <w:b w:val="0"/>
                <w:sz w:val="20"/>
                <w:szCs w:val="20"/>
              </w:rPr>
            </w:pPr>
          </w:p>
          <w:p w:rsidR="003B55E9" w:rsidRPr="00106783" w:rsidRDefault="00A734A7" w:rsidP="0010678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Наружные стены жилой части здания: кладка из керамического облицовочного пустотелого  кирпича (3 цвета) -  на растворе М100,  толщиной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523C91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120 мм</w:t>
              </w:r>
            </w:smartTag>
            <w:r w:rsidRPr="00523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утеплитель  из минераловатных плит «Эковер-Стандарт», кладка из керамического полнотелого кирпича  на растворе М100 , толщиной 250 мм;</w:t>
            </w:r>
          </w:p>
          <w:p w:rsidR="00A734A7" w:rsidRDefault="00261E3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Ограждающие конструкции – кирпичные стены 250 мм с утеплителем и наружной верстой из кирпича 120 мм, поэтажно опертые на монолитные плиты перекрытия.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Внутренние перегородки: 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Межквартирные: из керамического полнотелого кирпича, толщиной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523C91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250 мм</w:t>
              </w:r>
            </w:smartTag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>Межкомнатные: из керамического кирпича, толщиной 120 мм;</w:t>
            </w:r>
            <w:r w:rsidR="001B3F3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газобетонные блоки</w:t>
            </w:r>
            <w:proofErr w:type="gramStart"/>
            <w:r w:rsidR="001B3F3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B3F32">
              <w:rPr>
                <w:rFonts w:ascii="Times New Roman" w:eastAsiaTheme="minorHAnsi" w:hAnsi="Times New Roman" w:cs="Times New Roman"/>
                <w:sz w:val="20"/>
                <w:szCs w:val="20"/>
              </w:rPr>
              <w:t>толщиной 100мм;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Ограждающие санузлы: из керамического кирпича, толщиной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523C91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120 мм</w:t>
              </w:r>
            </w:smartTag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Ограждающие технические помещения автостоянки и технического чердака: из керамического кирпича, толщиной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523C91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120 мм</w:t>
              </w:r>
            </w:smartTag>
            <w:r w:rsidRPr="00523C91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4123E4" w:rsidRPr="00523C91" w:rsidRDefault="002C09EA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Высота этажа з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 w:rsidR="0010678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различн</w:t>
            </w:r>
            <w:r w:rsidR="001067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>, и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тавляет: в подвальной части 4,05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3,12 м.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первом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данная величина составляет 4,05 м, с</w:t>
            </w:r>
            <w:r w:rsidR="00166312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по 19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>-й этажи включительно – 3,15 м, на 24-м этаже – 3,6 м. Высота помещен</w:t>
            </w:r>
            <w:r w:rsidR="00166312">
              <w:rPr>
                <w:rFonts w:ascii="Times New Roman" w:hAnsi="Times New Roman" w:cs="Times New Roman"/>
                <w:sz w:val="20"/>
                <w:szCs w:val="20"/>
              </w:rPr>
              <w:t>ий технического 25-го этажа 1,9</w:t>
            </w:r>
            <w:r w:rsidR="00261E33"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м в чистоте.</w:t>
            </w:r>
          </w:p>
          <w:p w:rsidR="00261E33" w:rsidRPr="00523C91" w:rsidRDefault="00261E3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Остекление  балконов и лоджий: одинарное в алюминиевых переплетах.</w:t>
            </w:r>
          </w:p>
          <w:p w:rsidR="0027441B" w:rsidRPr="00523C91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Отделка помещений квартир (предусматривает подготовку </w:t>
            </w:r>
            <w:proofErr w:type="gramStart"/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чистовую самоотделку): </w:t>
            </w:r>
          </w:p>
          <w:p w:rsidR="0027441B" w:rsidRPr="00366177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Стены - улучшенная </w:t>
            </w:r>
            <w:r w:rsidRPr="00366177">
              <w:rPr>
                <w:rFonts w:ascii="Times New Roman" w:hAnsi="Times New Roman" w:cs="Times New Roman"/>
                <w:sz w:val="20"/>
                <w:szCs w:val="20"/>
              </w:rPr>
              <w:t>штукатурка и затирка под самоотделку;</w:t>
            </w:r>
          </w:p>
          <w:p w:rsidR="0027441B" w:rsidRDefault="0027441B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177">
              <w:rPr>
                <w:rFonts w:ascii="Times New Roman" w:hAnsi="Times New Roman" w:cs="Times New Roman"/>
                <w:sz w:val="20"/>
                <w:szCs w:val="20"/>
              </w:rPr>
              <w:t>Полы жилых помещений – фиброцементная стяжка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 по звукоизоляционному покрытию Полы санитарных узлов - фиброцементная стяжка,</w:t>
            </w:r>
            <w:r w:rsidR="004D7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32">
              <w:rPr>
                <w:rFonts w:ascii="Times New Roman" w:hAnsi="Times New Roman" w:cs="Times New Roman"/>
                <w:sz w:val="20"/>
                <w:szCs w:val="20"/>
              </w:rPr>
              <w:t>с гидроизоляцией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F03" w:rsidRDefault="00076F0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Потолок – отделка не предусмотрена.</w:t>
            </w:r>
          </w:p>
          <w:p w:rsidR="00383861" w:rsidRDefault="00383861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Окна – установлены, ПВХ  с 5-камерным профилем и </w:t>
            </w:r>
            <w:r w:rsidR="00076F03">
              <w:rPr>
                <w:rFonts w:ascii="Times New Roman" w:hAnsi="Times New Roman" w:cs="Times New Roman"/>
                <w:sz w:val="20"/>
                <w:szCs w:val="20"/>
              </w:rPr>
              <w:t>двухкамерным стеклопакетом, отделка оконных откосов сэндвич-панель, подоконник</w:t>
            </w:r>
            <w:r w:rsidR="002A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F03">
              <w:rPr>
                <w:rFonts w:ascii="Times New Roman" w:hAnsi="Times New Roman" w:cs="Times New Roman"/>
                <w:sz w:val="20"/>
                <w:szCs w:val="20"/>
              </w:rPr>
              <w:t>- установлен.</w:t>
            </w:r>
          </w:p>
          <w:p w:rsidR="00383861" w:rsidRDefault="00383861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  <w:r w:rsidR="000E0D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металлическая входная дверь (межкомнатные дверные блоки, дверные блоки в сан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злах не устанавливаются и не поставляются)</w:t>
            </w:r>
          </w:p>
          <w:p w:rsidR="00383861" w:rsidRDefault="00383861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  <w:r w:rsidR="002A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D10">
              <w:rPr>
                <w:rFonts w:ascii="Times New Roman" w:hAnsi="Times New Roman" w:cs="Times New Roman"/>
                <w:sz w:val="20"/>
                <w:szCs w:val="20"/>
              </w:rPr>
              <w:t xml:space="preserve">- в соответствии с проектной документацией, установлены </w:t>
            </w:r>
            <w:r w:rsidR="00076F03">
              <w:rPr>
                <w:rFonts w:ascii="Times New Roman" w:hAnsi="Times New Roman" w:cs="Times New Roman"/>
                <w:sz w:val="20"/>
                <w:szCs w:val="20"/>
              </w:rPr>
              <w:t xml:space="preserve">алюминиевые </w:t>
            </w:r>
            <w:r w:rsidR="000E0D10">
              <w:rPr>
                <w:rFonts w:ascii="Times New Roman" w:hAnsi="Times New Roman" w:cs="Times New Roman"/>
                <w:sz w:val="20"/>
                <w:szCs w:val="20"/>
              </w:rPr>
              <w:t>радиаторы.</w:t>
            </w:r>
          </w:p>
          <w:p w:rsidR="000E0D10" w:rsidRDefault="000E0D10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Электрика – выполнена электропроводка на 220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проектной документацией, </w:t>
            </w:r>
            <w:r w:rsidR="00076F0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устанавливаются розетки, выключатели, электролампочки,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эл. счетчик. </w:t>
            </w:r>
            <w:r w:rsidR="00076F03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 и звонки не устанавливаются</w:t>
            </w:r>
          </w:p>
          <w:p w:rsidR="00076F03" w:rsidRDefault="00076F0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смонтированы стояки горячего и холодного водоснабжения, выполнен ввод в квартиру, вводы заканчиваются вентилем, полотенцесушитель устанавливается, смесители не устанавливаются и не поставляются. Учет воды устанавливается в МОП.</w:t>
            </w:r>
          </w:p>
          <w:p w:rsidR="00076F03" w:rsidRDefault="00076F0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– выполняются стояки с тройниками, без горизонтальной разводки для подключения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приборов.</w:t>
            </w:r>
          </w:p>
          <w:p w:rsidR="00076F03" w:rsidRDefault="00076F0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Слаботочные системы (телефон, радио) – без ввода в квартиру, смонтированы  стояки.</w:t>
            </w:r>
          </w:p>
          <w:p w:rsidR="00076F03" w:rsidRPr="000E0D10" w:rsidRDefault="00076F03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61" w:rsidRPr="00523C91" w:rsidRDefault="00383861" w:rsidP="00523C9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5E9" w:rsidRPr="00040434" w:rsidRDefault="003B55E9" w:rsidP="000404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741D" w:rsidRPr="00E96099" w:rsidTr="00166312">
        <w:tc>
          <w:tcPr>
            <w:tcW w:w="5070" w:type="dxa"/>
          </w:tcPr>
          <w:p w:rsidR="00DF741D" w:rsidRPr="00423EBE" w:rsidRDefault="00B60008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Функциональное назначение</w:t>
            </w:r>
            <w:r w:rsidR="00DF741D" w:rsidRPr="00423EBE">
              <w:rPr>
                <w:rFonts w:ascii="Times New Roman" w:hAnsi="Times New Roman" w:cs="Times New Roman"/>
                <w:sz w:val="20"/>
                <w:szCs w:val="20"/>
              </w:rPr>
              <w:t xml:space="preserve"> нежилых помещений в многоквартирном доме, не входящих в состав общего имущества в многоквартирном доме</w:t>
            </w:r>
            <w:r w:rsidR="000A2DB7" w:rsidRPr="00423EBE">
              <w:rPr>
                <w:rFonts w:ascii="Times New Roman" w:hAnsi="Times New Roman" w:cs="Times New Roman"/>
                <w:sz w:val="20"/>
                <w:szCs w:val="20"/>
              </w:rPr>
              <w:t>, если строящимся (создаваемым) объектом недвижимости является многоквартирный дом</w:t>
            </w:r>
          </w:p>
        </w:tc>
        <w:tc>
          <w:tcPr>
            <w:tcW w:w="5811" w:type="dxa"/>
          </w:tcPr>
          <w:p w:rsidR="00A47C31" w:rsidRPr="00423EBE" w:rsidRDefault="00DE0381" w:rsidP="00A47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На первом </w:t>
            </w:r>
            <w:r w:rsidR="00DE5793">
              <w:rPr>
                <w:rFonts w:ascii="Times New Roman" w:hAnsi="Times New Roman" w:cs="Times New Roman"/>
                <w:sz w:val="20"/>
                <w:szCs w:val="20"/>
              </w:rPr>
              <w:t xml:space="preserve">и втором этажах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расположены помещения общественного назначения </w:t>
            </w:r>
            <w:r w:rsidR="00DE5793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спортивные клубы</w:t>
            </w:r>
            <w:proofErr w:type="gramStart"/>
            <w:r w:rsidR="00DE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23C9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E0F16" w:rsidRPr="00523C91">
              <w:rPr>
                <w:rFonts w:ascii="Times New Roman" w:hAnsi="Times New Roman" w:cs="Times New Roman"/>
                <w:sz w:val="20"/>
                <w:szCs w:val="20"/>
              </w:rPr>
              <w:t>строенные общественные помещения проектируемого объекта предусмотрены свободной планировки под самоотделку</w:t>
            </w:r>
            <w:r w:rsidR="00A73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3A87" w:rsidRPr="00423EBE" w:rsidRDefault="00693A87" w:rsidP="00461E3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41D" w:rsidRPr="00E96099" w:rsidTr="00166312">
        <w:tc>
          <w:tcPr>
            <w:tcW w:w="5070" w:type="dxa"/>
          </w:tcPr>
          <w:p w:rsidR="00DF741D" w:rsidRPr="00BC2FBA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0008" w:rsidRPr="00BC2FBA">
              <w:rPr>
                <w:rFonts w:ascii="Times New Roman" w:hAnsi="Times New Roman" w:cs="Times New Roman"/>
                <w:sz w:val="20"/>
                <w:szCs w:val="20"/>
              </w:rPr>
              <w:t>. Состав</w:t>
            </w:r>
            <w:r w:rsidRPr="00BC2FBA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в многоквартирном доме или (и) ином объекте недвижимости, которое находиться в общей долевой собственности</w:t>
            </w:r>
            <w:r w:rsidR="00B60008" w:rsidRPr="00BC2FB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долевого строительства </w:t>
            </w:r>
            <w:r w:rsidRPr="00BC2FB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E0B96" w:rsidRPr="00BC2FBA">
              <w:rPr>
                <w:rFonts w:ascii="Times New Roman" w:hAnsi="Times New Roman" w:cs="Times New Roman"/>
                <w:sz w:val="20"/>
                <w:szCs w:val="20"/>
              </w:rPr>
              <w:t>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DF741D" w:rsidRPr="00E06951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51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имущества:</w:t>
            </w:r>
          </w:p>
          <w:p w:rsidR="00DF741D" w:rsidRPr="00E06951" w:rsidRDefault="009C239F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51">
              <w:rPr>
                <w:rFonts w:ascii="Times New Roman" w:hAnsi="Times New Roman" w:cs="Times New Roman"/>
                <w:sz w:val="20"/>
                <w:szCs w:val="20"/>
              </w:rPr>
              <w:t>ИТП</w:t>
            </w:r>
            <w:r w:rsidR="00EB4412" w:rsidRPr="00E06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695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пожарных насосов</w:t>
            </w:r>
            <w:r w:rsidR="007D2AF9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0E38" w:rsidRPr="00E06951">
              <w:rPr>
                <w:rFonts w:ascii="Times New Roman" w:hAnsi="Times New Roman" w:cs="Times New Roman"/>
                <w:sz w:val="20"/>
                <w:szCs w:val="20"/>
              </w:rPr>
              <w:t>машинные помещения лифтов</w:t>
            </w:r>
            <w:r w:rsidR="00BC2FBA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695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венткамеры, балкон незадымляемой лестницы, квартирные холлы,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лестничные клетки, </w:t>
            </w:r>
            <w:r w:rsidR="00133443" w:rsidRPr="00E06951">
              <w:rPr>
                <w:rFonts w:ascii="Times New Roman" w:hAnsi="Times New Roman" w:cs="Times New Roman"/>
                <w:sz w:val="20"/>
                <w:szCs w:val="20"/>
              </w:rPr>
              <w:t>незадымляемая лестничная клетка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2DB7" w:rsidRPr="00E06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33443" w:rsidRPr="00E06951">
              <w:rPr>
                <w:rFonts w:ascii="Times New Roman" w:hAnsi="Times New Roman" w:cs="Times New Roman"/>
                <w:sz w:val="20"/>
                <w:szCs w:val="20"/>
              </w:rPr>
              <w:t>лифтовые холлы, вестибюль, помещение уборочного инвентаря,</w:t>
            </w:r>
            <w:r w:rsidR="00E0695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помещения,</w:t>
            </w:r>
            <w:r w:rsidR="00133443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коридор</w:t>
            </w:r>
            <w:r w:rsidR="00E0695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="00133443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443" w:rsidRPr="00E06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лифты, лифтовое оборудов</w:t>
            </w:r>
            <w:r w:rsidR="00F13106" w:rsidRPr="00E06951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="00DF741D" w:rsidRPr="00E06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тамбуры,</w:t>
            </w:r>
            <w:r w:rsidR="00634B2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EF" w:rsidRPr="00E06951">
              <w:rPr>
                <w:rFonts w:ascii="Times New Roman" w:hAnsi="Times New Roman" w:cs="Times New Roman"/>
                <w:sz w:val="20"/>
                <w:szCs w:val="20"/>
              </w:rPr>
              <w:t>технический этаж,</w:t>
            </w:r>
            <w:r w:rsidR="00E0695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выхода на кровлю, </w:t>
            </w:r>
            <w:r w:rsidR="00982299" w:rsidRPr="00E06951">
              <w:rPr>
                <w:rFonts w:ascii="Times New Roman" w:hAnsi="Times New Roman" w:cs="Times New Roman"/>
                <w:sz w:val="20"/>
                <w:szCs w:val="20"/>
              </w:rPr>
              <w:t>электрощитов</w:t>
            </w:r>
            <w:r w:rsidRPr="00E069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7EC8" w:rsidRPr="00E06951">
              <w:rPr>
                <w:rFonts w:ascii="Times New Roman" w:hAnsi="Times New Roman" w:cs="Times New Roman"/>
                <w:sz w:val="20"/>
                <w:szCs w:val="20"/>
              </w:rPr>
              <w:t>, кровля</w:t>
            </w:r>
            <w:r w:rsidR="00634B21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ограждающие и несущие конструкции дома, механическое, электрическое, санит</w:t>
            </w:r>
            <w:r w:rsidR="00B016FB" w:rsidRPr="00E06951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но-техническое и иное </w:t>
            </w:r>
            <w:proofErr w:type="gramStart"/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доме</w:t>
            </w:r>
            <w:r w:rsidR="00DF741D" w:rsidRPr="00E06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E41C3E" w:rsidRPr="00E06951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  <w:r w:rsidR="00256A9E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горячего и холодного водоснабжения</w:t>
            </w:r>
            <w:r w:rsidR="007D2AF9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</w:t>
            </w:r>
            <w:r w:rsidR="00BC2FBA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 котором расположен объе</w:t>
            </w:r>
            <w:proofErr w:type="gramStart"/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оительства,</w:t>
            </w:r>
            <w:r w:rsidR="00982299" w:rsidRPr="00E06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1D" w:rsidRPr="00E06951">
              <w:rPr>
                <w:rFonts w:ascii="Times New Roman" w:hAnsi="Times New Roman" w:cs="Times New Roman"/>
                <w:sz w:val="20"/>
                <w:szCs w:val="20"/>
              </w:rPr>
              <w:t>с элементами озеленения и благоустройства.</w:t>
            </w:r>
          </w:p>
          <w:p w:rsidR="00DF741D" w:rsidRPr="007D341D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51">
              <w:rPr>
                <w:rFonts w:ascii="Times New Roman" w:hAnsi="Times New Roman" w:cs="Times New Roman"/>
                <w:sz w:val="20"/>
                <w:szCs w:val="20"/>
              </w:rPr>
              <w:t>Доля каждого собственника в общем имуществе определяется пропорционально общей площади помещений, приобретаемых в собственность.</w:t>
            </w:r>
            <w:r w:rsidRPr="007D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987C2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C2B">
              <w:rPr>
                <w:rFonts w:ascii="Times New Roman" w:hAnsi="Times New Roman" w:cs="Times New Roman"/>
                <w:sz w:val="20"/>
                <w:szCs w:val="20"/>
              </w:rPr>
              <w:t>8. Предполагаемый срок получения разрешения на ввод в эксплуатацию</w:t>
            </w:r>
            <w:r w:rsidR="00EE0B96" w:rsidRPr="00987C2B">
              <w:rPr>
                <w:rFonts w:ascii="Times New Roman" w:hAnsi="Times New Roman" w:cs="Times New Roman"/>
                <w:sz w:val="20"/>
                <w:szCs w:val="20"/>
              </w:rPr>
              <w:t xml:space="preserve"> строящегося (создаваемого) многоквартирного дома и (или) иного объекта недвижимости</w:t>
            </w:r>
            <w:r w:rsidRPr="00987C2B">
              <w:rPr>
                <w:rFonts w:ascii="Times New Roman" w:hAnsi="Times New Roman" w:cs="Times New Roman"/>
                <w:sz w:val="20"/>
                <w:szCs w:val="20"/>
              </w:rPr>
              <w:t>, перечень</w:t>
            </w:r>
            <w:r w:rsidR="00EE0B96" w:rsidRPr="00987C2B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власти, органов местного самоуправления и организа</w:t>
            </w:r>
            <w:r w:rsidR="00133443">
              <w:rPr>
                <w:rFonts w:ascii="Times New Roman" w:hAnsi="Times New Roman" w:cs="Times New Roman"/>
                <w:sz w:val="20"/>
                <w:szCs w:val="20"/>
              </w:rPr>
              <w:t>ций, представители которых  уча</w:t>
            </w:r>
            <w:r w:rsidR="00EE0B96" w:rsidRPr="00987C2B">
              <w:rPr>
                <w:rFonts w:ascii="Times New Roman" w:hAnsi="Times New Roman" w:cs="Times New Roman"/>
                <w:sz w:val="20"/>
                <w:szCs w:val="20"/>
              </w:rPr>
              <w:t xml:space="preserve">ствуют в </w:t>
            </w:r>
            <w:r w:rsidR="00EE0B96" w:rsidRPr="00987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приемке указанного многоквартирного дома и (или) иного объекта недвижимости</w:t>
            </w:r>
          </w:p>
        </w:tc>
        <w:tc>
          <w:tcPr>
            <w:tcW w:w="5811" w:type="dxa"/>
          </w:tcPr>
          <w:p w:rsidR="00DF741D" w:rsidRPr="00133443" w:rsidRDefault="00ED1A0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="00564EB3"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1D" w:rsidRPr="00133443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741D"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F741D" w:rsidRPr="00315BD8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43">
              <w:rPr>
                <w:rFonts w:ascii="Times New Roman" w:hAnsi="Times New Roman" w:cs="Times New Roman"/>
                <w:sz w:val="20"/>
                <w:szCs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жилого дома – мэрия г. Новосиби</w:t>
            </w:r>
            <w:r w:rsidR="00F13106"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рска, Администрация </w:t>
            </w:r>
            <w:r w:rsidR="00315BD8" w:rsidRPr="00133443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ED7EC8"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443" w:rsidRPr="00133443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г. Новосибирска, эксплуатирующая организация, </w:t>
            </w:r>
            <w:r w:rsidR="007D2AF9"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133443">
              <w:rPr>
                <w:rFonts w:ascii="Times New Roman" w:hAnsi="Times New Roman" w:cs="Times New Roman"/>
                <w:sz w:val="20"/>
                <w:szCs w:val="20"/>
              </w:rPr>
              <w:t>Госстройнадзор</w:t>
            </w:r>
            <w:r w:rsidR="007D2AF9" w:rsidRPr="001334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3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Новосибирской области, УАСИ Мэрии г. Новосибирска, Управление по технологическому и экологическому надзору </w:t>
            </w:r>
            <w:proofErr w:type="spellStart"/>
            <w:r w:rsidRPr="00133443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133443">
              <w:rPr>
                <w:rFonts w:ascii="Times New Roman" w:hAnsi="Times New Roman" w:cs="Times New Roman"/>
                <w:sz w:val="20"/>
                <w:szCs w:val="20"/>
              </w:rPr>
              <w:t xml:space="preserve"> по Новосибирской области, </w:t>
            </w:r>
            <w:r w:rsidRPr="001334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ОГУП «</w:t>
            </w:r>
            <w:proofErr w:type="spellStart"/>
            <w:r w:rsidRPr="001334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Техцентр</w:t>
            </w:r>
            <w:proofErr w:type="spellEnd"/>
            <w:r w:rsidRPr="001334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НСО»</w:t>
            </w:r>
            <w:r w:rsidRPr="00133443">
              <w:rPr>
                <w:rFonts w:ascii="Times New Roman" w:hAnsi="Times New Roman" w:cs="Times New Roman"/>
                <w:sz w:val="20"/>
                <w:szCs w:val="20"/>
              </w:rPr>
              <w:t>, ГУБО.</w:t>
            </w:r>
          </w:p>
          <w:p w:rsidR="00DF741D" w:rsidRPr="009D327D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8">
              <w:rPr>
                <w:rFonts w:ascii="Times New Roman" w:hAnsi="Times New Roman" w:cs="Times New Roman"/>
                <w:sz w:val="20"/>
                <w:szCs w:val="20"/>
              </w:rPr>
              <w:t>Застройщик – ООО «</w:t>
            </w:r>
            <w:r w:rsidR="00381C6B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  <w:r w:rsidRPr="00315B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741D" w:rsidRPr="00C90481" w:rsidRDefault="00381C6B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</w:t>
            </w:r>
            <w:r w:rsidR="00C90481">
              <w:rPr>
                <w:rFonts w:ascii="Times New Roman" w:hAnsi="Times New Roman" w:cs="Times New Roman"/>
                <w:sz w:val="20"/>
                <w:szCs w:val="20"/>
              </w:rPr>
              <w:t xml:space="preserve">ик – ООО </w:t>
            </w:r>
            <w:r w:rsidR="00BB458F">
              <w:rPr>
                <w:rFonts w:ascii="Times New Roman" w:hAnsi="Times New Roman" w:cs="Times New Roman"/>
                <w:sz w:val="20"/>
                <w:szCs w:val="20"/>
              </w:rPr>
              <w:t xml:space="preserve"> «СМСС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r w:rsidR="00DF741D" w:rsidRPr="009D32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Возможные финансовые и прочие риски при осуществлении </w:t>
            </w:r>
            <w:r w:rsidR="00B60008" w:rsidRPr="00E96099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  <w:r w:rsidR="00B60008" w:rsidRPr="00E96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B96" w:rsidRPr="00E96099">
              <w:rPr>
                <w:rFonts w:ascii="Times New Roman" w:hAnsi="Times New Roman" w:cs="Times New Roman"/>
                <w:sz w:val="20"/>
                <w:szCs w:val="20"/>
              </w:rPr>
              <w:t>и меры по добровольному страхованию застройщиком таких рисков</w:t>
            </w:r>
          </w:p>
        </w:tc>
        <w:tc>
          <w:tcPr>
            <w:tcW w:w="5811" w:type="dxa"/>
          </w:tcPr>
          <w:p w:rsidR="00DF741D" w:rsidRPr="00112D52" w:rsidRDefault="00DF741D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D52">
              <w:rPr>
                <w:rFonts w:ascii="Times New Roman" w:hAnsi="Times New Roman" w:cs="Times New Roman"/>
                <w:sz w:val="20"/>
                <w:szCs w:val="20"/>
              </w:rPr>
              <w:t>Квартиры в возводимом Застройщиком доме пользуются устойчивым спросом, оплата генеральному подрядчику производится по факту выполнения работ, в связи, с чем финансовые риски све</w:t>
            </w:r>
            <w:r w:rsidR="00045389" w:rsidRPr="00112D52">
              <w:rPr>
                <w:rFonts w:ascii="Times New Roman" w:hAnsi="Times New Roman" w:cs="Times New Roman"/>
                <w:sz w:val="20"/>
                <w:szCs w:val="20"/>
              </w:rPr>
              <w:t>дены к минимуму. Прочие риски (</w:t>
            </w:r>
            <w:r w:rsidRPr="00112D52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 местом, способом строительства и т.п.) не превышают средние показатели по новостройкам города. 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BC2FBA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BA">
              <w:rPr>
                <w:rFonts w:ascii="Times New Roman" w:hAnsi="Times New Roman" w:cs="Times New Roman"/>
                <w:sz w:val="20"/>
                <w:szCs w:val="20"/>
              </w:rPr>
              <w:t xml:space="preserve">10.  Планируемая стоимость строительства </w:t>
            </w:r>
            <w:r w:rsidR="00B60008" w:rsidRPr="00BC2FBA">
              <w:rPr>
                <w:rFonts w:ascii="Times New Roman" w:hAnsi="Times New Roman" w:cs="Times New Roman"/>
                <w:sz w:val="20"/>
                <w:szCs w:val="20"/>
              </w:rPr>
              <w:t xml:space="preserve"> (создания) </w:t>
            </w:r>
            <w:r w:rsidRPr="00BC2FBA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5811" w:type="dxa"/>
            <w:vAlign w:val="center"/>
          </w:tcPr>
          <w:p w:rsidR="00DF741D" w:rsidRPr="00461E3C" w:rsidRDefault="00EA51A5" w:rsidP="00EA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652700</w:t>
            </w:r>
            <w:r w:rsidR="00BC2FBA" w:rsidRPr="00461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E" w:rsidRPr="00461E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Шестьсот пятьдесят</w:t>
            </w:r>
            <w:r w:rsidR="00373EA9">
              <w:rPr>
                <w:rFonts w:ascii="Times New Roman" w:hAnsi="Times New Roman" w:cs="Times New Roman"/>
                <w:sz w:val="20"/>
                <w:szCs w:val="20"/>
              </w:rPr>
              <w:t xml:space="preserve"> два миллиона </w:t>
            </w:r>
            <w:r w:rsidR="001B3F32">
              <w:rPr>
                <w:rFonts w:ascii="Times New Roman" w:hAnsi="Times New Roman" w:cs="Times New Roman"/>
                <w:sz w:val="20"/>
                <w:szCs w:val="20"/>
              </w:rPr>
              <w:t>семьсот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EA9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 w:rsidR="00256A9E" w:rsidRPr="00461E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C2FBA" w:rsidRPr="00461E3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256A9E" w:rsidRPr="00461E3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DF741D" w:rsidRPr="00E96099" w:rsidTr="00166312">
        <w:tc>
          <w:tcPr>
            <w:tcW w:w="5070" w:type="dxa"/>
          </w:tcPr>
          <w:p w:rsidR="00DF741D" w:rsidRPr="00E96099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99">
              <w:rPr>
                <w:rFonts w:ascii="Times New Roman" w:hAnsi="Times New Roman" w:cs="Times New Roman"/>
                <w:sz w:val="20"/>
                <w:szCs w:val="20"/>
              </w:rPr>
              <w:t>11. Перечень организаций, осуществляющих основные строительно-монтажные и другие подрядные работы</w:t>
            </w:r>
          </w:p>
        </w:tc>
        <w:tc>
          <w:tcPr>
            <w:tcW w:w="5811" w:type="dxa"/>
          </w:tcPr>
          <w:p w:rsidR="00C90481" w:rsidRDefault="002B57A7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E57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564EB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аказчик ООО «</w:t>
            </w:r>
            <w:r w:rsidR="00DE57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СМСССТРОЙ</w:t>
            </w:r>
            <w:r w:rsidR="00564EB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7C71C7" w:rsidRPr="00BD64E2" w:rsidRDefault="00C90481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которые оказывают влияние на безопасность объектов капитального строительства</w:t>
            </w:r>
            <w:r w:rsidR="00564EB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№1035</w:t>
            </w:r>
            <w:r w:rsidR="00A566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19.05.2015 г.</w:t>
            </w:r>
            <w:r w:rsidR="002B57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Выдано №</w:t>
            </w:r>
            <w:r w:rsidR="007F26EE" w:rsidRPr="007F26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57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Ассоциацией строителей «Строительно-Индустриальное объединение» в г. Волосово, Ленинградская область.</w:t>
            </w:r>
          </w:p>
          <w:p w:rsidR="00564EB3" w:rsidRDefault="002B57A7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566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13344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одрядчик  ООО </w:t>
            </w:r>
            <w:r w:rsidR="00564EB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DE57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Монолитстрой</w:t>
            </w:r>
            <w:proofErr w:type="spellEnd"/>
            <w:r w:rsidR="00564EB3" w:rsidRPr="00BD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A56662" w:rsidRDefault="00A56662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01-2014-5405490754-С-252 от 13.032014г. Выдано саморегулирующей организацией некоммерческим партнерством «Межрегиональное объединение строительных организаций «Солидарность» в г. Москва</w:t>
            </w:r>
          </w:p>
          <w:p w:rsidR="00A56662" w:rsidRDefault="002B57A7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566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Подрядчик ООО «</w:t>
            </w:r>
            <w:proofErr w:type="spellStart"/>
            <w:r w:rsidR="003547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Спецстрой</w:t>
            </w:r>
            <w:proofErr w:type="spellEnd"/>
            <w:r w:rsidR="00A566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A56662" w:rsidRPr="00BD64E2" w:rsidRDefault="00A56662" w:rsidP="00564E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01-2014-540</w:t>
            </w:r>
            <w:r w:rsidR="003547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4505535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-С-252. Выдано саморегулирующей организацией некоммерческим партнерством «Межрегиональное объединение строительных организаций «Солидарность» в г. Москва.</w:t>
            </w:r>
          </w:p>
          <w:p w:rsidR="00DF741D" w:rsidRPr="00461E3C" w:rsidRDefault="00DF741D" w:rsidP="00D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1D" w:rsidRPr="00E96099" w:rsidTr="00166312">
        <w:tc>
          <w:tcPr>
            <w:tcW w:w="5070" w:type="dxa"/>
          </w:tcPr>
          <w:p w:rsidR="00DF741D" w:rsidRPr="001934BB" w:rsidRDefault="00B60008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12.  Способ</w:t>
            </w:r>
            <w:r w:rsidR="00DF741D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5811" w:type="dxa"/>
          </w:tcPr>
          <w:p w:rsidR="00DF741D" w:rsidRDefault="00B60008" w:rsidP="007A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E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741D" w:rsidRPr="00461E3C">
              <w:rPr>
                <w:rFonts w:ascii="Times New Roman" w:hAnsi="Times New Roman" w:cs="Times New Roman"/>
                <w:sz w:val="20"/>
                <w:szCs w:val="20"/>
              </w:rPr>
              <w:t xml:space="preserve">алог права </w:t>
            </w:r>
            <w:r w:rsidR="007A4966" w:rsidRPr="00461E3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="00DF741D" w:rsidRPr="00461E3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предоставленного для строительства многоквартирного дома, и строящийся на этом земельном участке многоквартирный дом.</w:t>
            </w:r>
            <w:r w:rsidR="001B3F3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Предусмотрены меры по добровольному страхованию рисков застройщика.</w:t>
            </w:r>
          </w:p>
          <w:p w:rsidR="006F05A7" w:rsidRDefault="006F05A7" w:rsidP="006F05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ответственности Застройщика осуществляется в пользу выгодоприобретателей – участников долевого строительства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и/или юридических лиц), страховой организацией – Обществом с ограниченной ответственностью «Страховая компания «РЕСПЕКТ» (Лицензия СИ №</w:t>
            </w:r>
            <w:r w:rsidR="00F92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3492 от 03 октября 2013 г.) Генеральный договор </w:t>
            </w:r>
            <w:r w:rsidR="00B224B6">
              <w:rPr>
                <w:rFonts w:ascii="Times New Roman" w:hAnsi="Times New Roman" w:cs="Times New Roman"/>
                <w:sz w:val="20"/>
                <w:szCs w:val="20"/>
              </w:rPr>
              <w:t>страхования гражданской ответственности застройщика за не исполнение или ненадлежащее исполнение обязательств по пере</w:t>
            </w:r>
            <w:r w:rsidR="003013CA">
              <w:rPr>
                <w:rFonts w:ascii="Times New Roman" w:hAnsi="Times New Roman" w:cs="Times New Roman"/>
                <w:sz w:val="20"/>
                <w:szCs w:val="20"/>
              </w:rPr>
              <w:t xml:space="preserve">даче жилого помещения по договору участия в </w:t>
            </w:r>
            <w:r w:rsidR="00A76C7E">
              <w:rPr>
                <w:rFonts w:ascii="Times New Roman" w:hAnsi="Times New Roman" w:cs="Times New Roman"/>
                <w:sz w:val="20"/>
                <w:szCs w:val="20"/>
              </w:rPr>
              <w:t>долевом строительстве № ГОЗ-68-0968/15 от 19 октября 2015 г.</w:t>
            </w:r>
          </w:p>
          <w:p w:rsidR="00261104" w:rsidRPr="00461E3C" w:rsidRDefault="00261104" w:rsidP="006F05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1D" w:rsidRPr="00E96099" w:rsidTr="00166312">
        <w:tc>
          <w:tcPr>
            <w:tcW w:w="5070" w:type="dxa"/>
          </w:tcPr>
          <w:p w:rsidR="00DF741D" w:rsidRPr="001934BB" w:rsidRDefault="00977F51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13. Иные договоры и сделки</w:t>
            </w:r>
            <w:r w:rsidR="00DF741D" w:rsidRPr="001934BB">
              <w:rPr>
                <w:rFonts w:ascii="Times New Roman" w:hAnsi="Times New Roman" w:cs="Times New Roman"/>
                <w:sz w:val="20"/>
                <w:szCs w:val="20"/>
              </w:rPr>
              <w:t>, на основании которых привлекаются денежные средства для строительства</w:t>
            </w: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(создания)</w:t>
            </w:r>
            <w:r w:rsidR="00DF741D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дома</w:t>
            </w: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5811" w:type="dxa"/>
          </w:tcPr>
          <w:p w:rsidR="00DF741D" w:rsidRPr="001934BB" w:rsidRDefault="00E41C3E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="00DF741D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займа</w:t>
            </w:r>
          </w:p>
        </w:tc>
      </w:tr>
    </w:tbl>
    <w:p w:rsidR="00DF741D" w:rsidRPr="001934BB" w:rsidRDefault="00DF741D" w:rsidP="000871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4BB">
        <w:rPr>
          <w:rFonts w:ascii="Times New Roman" w:hAnsi="Times New Roman" w:cs="Times New Roman"/>
          <w:b/>
          <w:bCs/>
          <w:sz w:val="20"/>
          <w:szCs w:val="20"/>
        </w:rPr>
        <w:t>По требованию участника долевого строительства застройщик обязан представить: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"/>
        <w:gridCol w:w="3502"/>
        <w:gridCol w:w="222"/>
        <w:gridCol w:w="222"/>
        <w:gridCol w:w="1387"/>
        <w:gridCol w:w="1493"/>
        <w:gridCol w:w="3719"/>
      </w:tblGrid>
      <w:tr w:rsidR="00DF741D" w:rsidRPr="001934BB" w:rsidTr="00D8584C">
        <w:tc>
          <w:tcPr>
            <w:tcW w:w="10632" w:type="dxa"/>
            <w:gridSpan w:val="7"/>
          </w:tcPr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1. Разрешение на строительство;</w:t>
            </w:r>
          </w:p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2. Технико-экономическое обоснование проекта строительства многоквартирного дома и (или) иного объекта недвижимости</w:t>
            </w:r>
          </w:p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3. Заключение государственной экспертизы проектной документации</w:t>
            </w:r>
            <w:r w:rsidR="00977F51" w:rsidRPr="001934BB">
              <w:rPr>
                <w:rFonts w:ascii="Times New Roman" w:hAnsi="Times New Roman" w:cs="Times New Roman"/>
                <w:sz w:val="20"/>
                <w:szCs w:val="20"/>
              </w:rPr>
              <w:t>, если проведение такой экспертизы установлено федеральным законом</w:t>
            </w: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4. Проектную документацию, включающую в себя все внесенные</w:t>
            </w:r>
            <w:r w:rsidR="00B60008"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в нее</w:t>
            </w: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изменения;</w:t>
            </w:r>
          </w:p>
          <w:p w:rsidR="00DF741D" w:rsidRPr="001934BB" w:rsidRDefault="00DF741D" w:rsidP="0008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B">
              <w:rPr>
                <w:rFonts w:ascii="Times New Roman" w:hAnsi="Times New Roman" w:cs="Times New Roman"/>
                <w:sz w:val="20"/>
                <w:szCs w:val="20"/>
              </w:rPr>
              <w:t>5. Документы, подтверждающие права застройщика на земельный участок.</w:t>
            </w:r>
          </w:p>
        </w:tc>
      </w:tr>
      <w:tr w:rsidR="00D8584C" w:rsidRPr="00D8584C" w:rsidTr="0065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975" w:type="dxa"/>
          <w:trHeight w:val="480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D8584C" w:rsidRPr="00D8584C" w:rsidTr="0065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975" w:type="dxa"/>
          <w:trHeight w:val="42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D8584C" w:rsidRPr="00D8584C" w:rsidTr="0065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975" w:type="dxa"/>
          <w:trHeight w:val="30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D8584C" w:rsidRPr="00D8584C" w:rsidTr="0065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975" w:type="dxa"/>
          <w:trHeight w:val="30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D8584C" w:rsidRPr="00D8584C" w:rsidTr="0065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975" w:type="dxa"/>
          <w:trHeight w:val="30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C" w:rsidRPr="00D8584C" w:rsidRDefault="00D8584C" w:rsidP="00D8584C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F741D" w:rsidRPr="001934BB" w:rsidRDefault="00DF741D" w:rsidP="000871E3">
      <w:pPr>
        <w:tabs>
          <w:tab w:val="left" w:pos="358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741D" w:rsidRPr="001934BB" w:rsidSect="00BE532C"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74"/>
    <w:multiLevelType w:val="hybridMultilevel"/>
    <w:tmpl w:val="CFCEA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71A5A"/>
    <w:multiLevelType w:val="hybridMultilevel"/>
    <w:tmpl w:val="CED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6796"/>
    <w:multiLevelType w:val="hybridMultilevel"/>
    <w:tmpl w:val="7316A3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2713C1"/>
    <w:multiLevelType w:val="hybridMultilevel"/>
    <w:tmpl w:val="3E5E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7"/>
    <w:rsid w:val="0000640A"/>
    <w:rsid w:val="00007EF9"/>
    <w:rsid w:val="0001605A"/>
    <w:rsid w:val="00016926"/>
    <w:rsid w:val="00020602"/>
    <w:rsid w:val="00037115"/>
    <w:rsid w:val="00040434"/>
    <w:rsid w:val="0004096B"/>
    <w:rsid w:val="00042FA7"/>
    <w:rsid w:val="0004440F"/>
    <w:rsid w:val="00045389"/>
    <w:rsid w:val="00066E00"/>
    <w:rsid w:val="0007118D"/>
    <w:rsid w:val="0007154D"/>
    <w:rsid w:val="00074D09"/>
    <w:rsid w:val="00076F03"/>
    <w:rsid w:val="000871E3"/>
    <w:rsid w:val="0009339B"/>
    <w:rsid w:val="000948A4"/>
    <w:rsid w:val="0009508A"/>
    <w:rsid w:val="00096145"/>
    <w:rsid w:val="00097156"/>
    <w:rsid w:val="000A2DB7"/>
    <w:rsid w:val="000A54F7"/>
    <w:rsid w:val="000B6256"/>
    <w:rsid w:val="000B6E5C"/>
    <w:rsid w:val="000D4D86"/>
    <w:rsid w:val="000E0D10"/>
    <w:rsid w:val="000E607B"/>
    <w:rsid w:val="000F763A"/>
    <w:rsid w:val="00100D28"/>
    <w:rsid w:val="00105791"/>
    <w:rsid w:val="00106783"/>
    <w:rsid w:val="001069A7"/>
    <w:rsid w:val="00112D52"/>
    <w:rsid w:val="001137B9"/>
    <w:rsid w:val="00116B39"/>
    <w:rsid w:val="0012366F"/>
    <w:rsid w:val="00133443"/>
    <w:rsid w:val="00140E38"/>
    <w:rsid w:val="001533D6"/>
    <w:rsid w:val="001623CD"/>
    <w:rsid w:val="00166312"/>
    <w:rsid w:val="001732D2"/>
    <w:rsid w:val="001748DA"/>
    <w:rsid w:val="0018303D"/>
    <w:rsid w:val="00190084"/>
    <w:rsid w:val="00191576"/>
    <w:rsid w:val="001934BB"/>
    <w:rsid w:val="001A1348"/>
    <w:rsid w:val="001A5193"/>
    <w:rsid w:val="001A6E2D"/>
    <w:rsid w:val="001B3F32"/>
    <w:rsid w:val="001B65A4"/>
    <w:rsid w:val="001D604B"/>
    <w:rsid w:val="001E5CCB"/>
    <w:rsid w:val="001F0C5D"/>
    <w:rsid w:val="001F16D4"/>
    <w:rsid w:val="001F205E"/>
    <w:rsid w:val="001F26F8"/>
    <w:rsid w:val="001F2AC9"/>
    <w:rsid w:val="002050F7"/>
    <w:rsid w:val="00236E20"/>
    <w:rsid w:val="002411AD"/>
    <w:rsid w:val="00243852"/>
    <w:rsid w:val="0024394B"/>
    <w:rsid w:val="00256A9E"/>
    <w:rsid w:val="00261104"/>
    <w:rsid w:val="00261E33"/>
    <w:rsid w:val="0027441B"/>
    <w:rsid w:val="00276C74"/>
    <w:rsid w:val="002777F0"/>
    <w:rsid w:val="00280EF3"/>
    <w:rsid w:val="00283ABF"/>
    <w:rsid w:val="00285582"/>
    <w:rsid w:val="0029171E"/>
    <w:rsid w:val="00295FBD"/>
    <w:rsid w:val="002A11EB"/>
    <w:rsid w:val="002A2254"/>
    <w:rsid w:val="002A35B1"/>
    <w:rsid w:val="002A575B"/>
    <w:rsid w:val="002A7D54"/>
    <w:rsid w:val="002B57A7"/>
    <w:rsid w:val="002C00FE"/>
    <w:rsid w:val="002C09EA"/>
    <w:rsid w:val="002C12FE"/>
    <w:rsid w:val="002C7E96"/>
    <w:rsid w:val="002D58DB"/>
    <w:rsid w:val="002E0712"/>
    <w:rsid w:val="002E4020"/>
    <w:rsid w:val="002F579C"/>
    <w:rsid w:val="003013CA"/>
    <w:rsid w:val="00311D63"/>
    <w:rsid w:val="00315BD8"/>
    <w:rsid w:val="00332C58"/>
    <w:rsid w:val="00346242"/>
    <w:rsid w:val="00353382"/>
    <w:rsid w:val="00354784"/>
    <w:rsid w:val="003551F5"/>
    <w:rsid w:val="00364CDA"/>
    <w:rsid w:val="00366177"/>
    <w:rsid w:val="0036671C"/>
    <w:rsid w:val="0036701F"/>
    <w:rsid w:val="00373EA9"/>
    <w:rsid w:val="00375AF0"/>
    <w:rsid w:val="00377AA6"/>
    <w:rsid w:val="00381C6B"/>
    <w:rsid w:val="00383861"/>
    <w:rsid w:val="00385559"/>
    <w:rsid w:val="003A59AA"/>
    <w:rsid w:val="003A6DE8"/>
    <w:rsid w:val="003A6ECC"/>
    <w:rsid w:val="003B4315"/>
    <w:rsid w:val="003B55E9"/>
    <w:rsid w:val="003B6168"/>
    <w:rsid w:val="003C60E9"/>
    <w:rsid w:val="003D6EDA"/>
    <w:rsid w:val="003F12D6"/>
    <w:rsid w:val="003F6F1D"/>
    <w:rsid w:val="004123E4"/>
    <w:rsid w:val="004168FF"/>
    <w:rsid w:val="00423EBE"/>
    <w:rsid w:val="004242C4"/>
    <w:rsid w:val="00425754"/>
    <w:rsid w:val="004360D2"/>
    <w:rsid w:val="004411B3"/>
    <w:rsid w:val="00460BE5"/>
    <w:rsid w:val="00461E3C"/>
    <w:rsid w:val="00463A04"/>
    <w:rsid w:val="0047436F"/>
    <w:rsid w:val="00475426"/>
    <w:rsid w:val="00480B99"/>
    <w:rsid w:val="00482555"/>
    <w:rsid w:val="00486BE3"/>
    <w:rsid w:val="00486EB0"/>
    <w:rsid w:val="004916C7"/>
    <w:rsid w:val="004A6B8B"/>
    <w:rsid w:val="004A7E2D"/>
    <w:rsid w:val="004C3DBB"/>
    <w:rsid w:val="004D3313"/>
    <w:rsid w:val="004D528D"/>
    <w:rsid w:val="004D5C65"/>
    <w:rsid w:val="004D7506"/>
    <w:rsid w:val="004E59BB"/>
    <w:rsid w:val="004F22FA"/>
    <w:rsid w:val="004F2358"/>
    <w:rsid w:val="004F522E"/>
    <w:rsid w:val="004F682B"/>
    <w:rsid w:val="00507E1E"/>
    <w:rsid w:val="00514F77"/>
    <w:rsid w:val="00523C91"/>
    <w:rsid w:val="00564EB3"/>
    <w:rsid w:val="005672B2"/>
    <w:rsid w:val="005801AC"/>
    <w:rsid w:val="00583AAF"/>
    <w:rsid w:val="00583FC9"/>
    <w:rsid w:val="005931FE"/>
    <w:rsid w:val="00595987"/>
    <w:rsid w:val="00597FD6"/>
    <w:rsid w:val="005A1C94"/>
    <w:rsid w:val="005A2638"/>
    <w:rsid w:val="005A4FA4"/>
    <w:rsid w:val="005B345D"/>
    <w:rsid w:val="005B5FEC"/>
    <w:rsid w:val="005D222D"/>
    <w:rsid w:val="005E0F16"/>
    <w:rsid w:val="005E1F0F"/>
    <w:rsid w:val="005F45B7"/>
    <w:rsid w:val="00602D5E"/>
    <w:rsid w:val="006068DF"/>
    <w:rsid w:val="00606926"/>
    <w:rsid w:val="0061482B"/>
    <w:rsid w:val="00615677"/>
    <w:rsid w:val="0061650E"/>
    <w:rsid w:val="0062015F"/>
    <w:rsid w:val="0062595A"/>
    <w:rsid w:val="00634B21"/>
    <w:rsid w:val="00635143"/>
    <w:rsid w:val="00640B07"/>
    <w:rsid w:val="00644350"/>
    <w:rsid w:val="00650A3C"/>
    <w:rsid w:val="0065110D"/>
    <w:rsid w:val="006534A4"/>
    <w:rsid w:val="00667AAA"/>
    <w:rsid w:val="00672484"/>
    <w:rsid w:val="0067263E"/>
    <w:rsid w:val="00676277"/>
    <w:rsid w:val="006767BC"/>
    <w:rsid w:val="00677FA3"/>
    <w:rsid w:val="00680FC5"/>
    <w:rsid w:val="0068655C"/>
    <w:rsid w:val="0068696E"/>
    <w:rsid w:val="00693A87"/>
    <w:rsid w:val="00697ECC"/>
    <w:rsid w:val="006A0BF9"/>
    <w:rsid w:val="006A59DE"/>
    <w:rsid w:val="006B70EE"/>
    <w:rsid w:val="006D3E5D"/>
    <w:rsid w:val="006E55F8"/>
    <w:rsid w:val="006E5C4B"/>
    <w:rsid w:val="006E68DD"/>
    <w:rsid w:val="006F05A7"/>
    <w:rsid w:val="0070005E"/>
    <w:rsid w:val="007018CC"/>
    <w:rsid w:val="00710948"/>
    <w:rsid w:val="00713D13"/>
    <w:rsid w:val="00720FC0"/>
    <w:rsid w:val="00734D3E"/>
    <w:rsid w:val="007609FB"/>
    <w:rsid w:val="00762AF7"/>
    <w:rsid w:val="00763687"/>
    <w:rsid w:val="00765D95"/>
    <w:rsid w:val="00776C5C"/>
    <w:rsid w:val="007811EE"/>
    <w:rsid w:val="00792DA4"/>
    <w:rsid w:val="00796B56"/>
    <w:rsid w:val="007A46FC"/>
    <w:rsid w:val="007A4966"/>
    <w:rsid w:val="007B240B"/>
    <w:rsid w:val="007B3574"/>
    <w:rsid w:val="007B7BDD"/>
    <w:rsid w:val="007C1C43"/>
    <w:rsid w:val="007C442C"/>
    <w:rsid w:val="007C71C7"/>
    <w:rsid w:val="007D2AF9"/>
    <w:rsid w:val="007D341D"/>
    <w:rsid w:val="007E4F87"/>
    <w:rsid w:val="007E576C"/>
    <w:rsid w:val="007F26EE"/>
    <w:rsid w:val="007F4140"/>
    <w:rsid w:val="007F7696"/>
    <w:rsid w:val="00800167"/>
    <w:rsid w:val="00800325"/>
    <w:rsid w:val="00802DE3"/>
    <w:rsid w:val="00803836"/>
    <w:rsid w:val="00806744"/>
    <w:rsid w:val="00811DCB"/>
    <w:rsid w:val="008147CF"/>
    <w:rsid w:val="00815E8C"/>
    <w:rsid w:val="00825703"/>
    <w:rsid w:val="008469B3"/>
    <w:rsid w:val="008554DB"/>
    <w:rsid w:val="00855FAA"/>
    <w:rsid w:val="00861AA0"/>
    <w:rsid w:val="00863504"/>
    <w:rsid w:val="008648A0"/>
    <w:rsid w:val="00873851"/>
    <w:rsid w:val="00877D81"/>
    <w:rsid w:val="00884851"/>
    <w:rsid w:val="00886A48"/>
    <w:rsid w:val="00893ECB"/>
    <w:rsid w:val="0089514D"/>
    <w:rsid w:val="00895C15"/>
    <w:rsid w:val="008A3433"/>
    <w:rsid w:val="008B354F"/>
    <w:rsid w:val="008C6561"/>
    <w:rsid w:val="008D0B24"/>
    <w:rsid w:val="008E502E"/>
    <w:rsid w:val="008F1756"/>
    <w:rsid w:val="008F499F"/>
    <w:rsid w:val="00903C10"/>
    <w:rsid w:val="009050C9"/>
    <w:rsid w:val="00915A19"/>
    <w:rsid w:val="009249FC"/>
    <w:rsid w:val="0093564B"/>
    <w:rsid w:val="00950357"/>
    <w:rsid w:val="009559C4"/>
    <w:rsid w:val="00961783"/>
    <w:rsid w:val="0096486E"/>
    <w:rsid w:val="00975428"/>
    <w:rsid w:val="009758D2"/>
    <w:rsid w:val="00977F51"/>
    <w:rsid w:val="00982299"/>
    <w:rsid w:val="00985E00"/>
    <w:rsid w:val="009879C5"/>
    <w:rsid w:val="00987C2B"/>
    <w:rsid w:val="009958B6"/>
    <w:rsid w:val="009A2121"/>
    <w:rsid w:val="009C0340"/>
    <w:rsid w:val="009C239F"/>
    <w:rsid w:val="009D327D"/>
    <w:rsid w:val="009D3692"/>
    <w:rsid w:val="009E0232"/>
    <w:rsid w:val="009E2363"/>
    <w:rsid w:val="009E3661"/>
    <w:rsid w:val="009E7DCE"/>
    <w:rsid w:val="00A10EDB"/>
    <w:rsid w:val="00A167E6"/>
    <w:rsid w:val="00A17CF1"/>
    <w:rsid w:val="00A20026"/>
    <w:rsid w:val="00A210D7"/>
    <w:rsid w:val="00A23164"/>
    <w:rsid w:val="00A26621"/>
    <w:rsid w:val="00A3038A"/>
    <w:rsid w:val="00A47C31"/>
    <w:rsid w:val="00A55C90"/>
    <w:rsid w:val="00A56662"/>
    <w:rsid w:val="00A617EA"/>
    <w:rsid w:val="00A6502D"/>
    <w:rsid w:val="00A734A7"/>
    <w:rsid w:val="00A76C7E"/>
    <w:rsid w:val="00A80BC0"/>
    <w:rsid w:val="00A95512"/>
    <w:rsid w:val="00AA54EC"/>
    <w:rsid w:val="00AB36DE"/>
    <w:rsid w:val="00AB738F"/>
    <w:rsid w:val="00AC7B48"/>
    <w:rsid w:val="00AD0630"/>
    <w:rsid w:val="00B016FB"/>
    <w:rsid w:val="00B028AB"/>
    <w:rsid w:val="00B150A2"/>
    <w:rsid w:val="00B224B6"/>
    <w:rsid w:val="00B25960"/>
    <w:rsid w:val="00B27B0A"/>
    <w:rsid w:val="00B303DE"/>
    <w:rsid w:val="00B31D8B"/>
    <w:rsid w:val="00B43FB2"/>
    <w:rsid w:val="00B4779C"/>
    <w:rsid w:val="00B60008"/>
    <w:rsid w:val="00B71660"/>
    <w:rsid w:val="00B7426A"/>
    <w:rsid w:val="00B85BA6"/>
    <w:rsid w:val="00B97A61"/>
    <w:rsid w:val="00BA3744"/>
    <w:rsid w:val="00BB0D80"/>
    <w:rsid w:val="00BB1065"/>
    <w:rsid w:val="00BB458F"/>
    <w:rsid w:val="00BB719D"/>
    <w:rsid w:val="00BC2FBA"/>
    <w:rsid w:val="00BD0822"/>
    <w:rsid w:val="00BD64E2"/>
    <w:rsid w:val="00BE532C"/>
    <w:rsid w:val="00C0127F"/>
    <w:rsid w:val="00C02F12"/>
    <w:rsid w:val="00C05D5D"/>
    <w:rsid w:val="00C0634A"/>
    <w:rsid w:val="00C06DB5"/>
    <w:rsid w:val="00C15161"/>
    <w:rsid w:val="00C22153"/>
    <w:rsid w:val="00C2404F"/>
    <w:rsid w:val="00C3230A"/>
    <w:rsid w:val="00C344BE"/>
    <w:rsid w:val="00C367E5"/>
    <w:rsid w:val="00C41656"/>
    <w:rsid w:val="00C41CDF"/>
    <w:rsid w:val="00C43EFD"/>
    <w:rsid w:val="00C534BB"/>
    <w:rsid w:val="00C56953"/>
    <w:rsid w:val="00C66F50"/>
    <w:rsid w:val="00C75A88"/>
    <w:rsid w:val="00C90481"/>
    <w:rsid w:val="00CA0707"/>
    <w:rsid w:val="00CA7706"/>
    <w:rsid w:val="00CB2EA6"/>
    <w:rsid w:val="00CC41BE"/>
    <w:rsid w:val="00CD217B"/>
    <w:rsid w:val="00CF0A2F"/>
    <w:rsid w:val="00D06493"/>
    <w:rsid w:val="00D15C3B"/>
    <w:rsid w:val="00D1660E"/>
    <w:rsid w:val="00D24B43"/>
    <w:rsid w:val="00D34B49"/>
    <w:rsid w:val="00D474E4"/>
    <w:rsid w:val="00D50FE8"/>
    <w:rsid w:val="00D54DE7"/>
    <w:rsid w:val="00D558C0"/>
    <w:rsid w:val="00D57051"/>
    <w:rsid w:val="00D609C0"/>
    <w:rsid w:val="00D6103E"/>
    <w:rsid w:val="00D80162"/>
    <w:rsid w:val="00D8584C"/>
    <w:rsid w:val="00D85BE7"/>
    <w:rsid w:val="00D9003E"/>
    <w:rsid w:val="00D9489C"/>
    <w:rsid w:val="00D9746D"/>
    <w:rsid w:val="00DA4470"/>
    <w:rsid w:val="00DB0171"/>
    <w:rsid w:val="00DB3A74"/>
    <w:rsid w:val="00DC5C58"/>
    <w:rsid w:val="00DD0613"/>
    <w:rsid w:val="00DE0381"/>
    <w:rsid w:val="00DE0B0F"/>
    <w:rsid w:val="00DE1705"/>
    <w:rsid w:val="00DE5793"/>
    <w:rsid w:val="00DF741D"/>
    <w:rsid w:val="00E019C7"/>
    <w:rsid w:val="00E06951"/>
    <w:rsid w:val="00E07196"/>
    <w:rsid w:val="00E108DF"/>
    <w:rsid w:val="00E26AF2"/>
    <w:rsid w:val="00E41C3E"/>
    <w:rsid w:val="00E439C3"/>
    <w:rsid w:val="00E46561"/>
    <w:rsid w:val="00E4684B"/>
    <w:rsid w:val="00E6704C"/>
    <w:rsid w:val="00E856E0"/>
    <w:rsid w:val="00E8656B"/>
    <w:rsid w:val="00E92249"/>
    <w:rsid w:val="00E96099"/>
    <w:rsid w:val="00EA103E"/>
    <w:rsid w:val="00EA51A5"/>
    <w:rsid w:val="00EB4412"/>
    <w:rsid w:val="00EB445A"/>
    <w:rsid w:val="00EC1148"/>
    <w:rsid w:val="00EC29FD"/>
    <w:rsid w:val="00ED1A0D"/>
    <w:rsid w:val="00ED5383"/>
    <w:rsid w:val="00ED79E5"/>
    <w:rsid w:val="00ED7EC8"/>
    <w:rsid w:val="00EE0B96"/>
    <w:rsid w:val="00EE5AB4"/>
    <w:rsid w:val="00EE5F17"/>
    <w:rsid w:val="00EE7F34"/>
    <w:rsid w:val="00EF2BF4"/>
    <w:rsid w:val="00EF58E4"/>
    <w:rsid w:val="00F0373E"/>
    <w:rsid w:val="00F03E66"/>
    <w:rsid w:val="00F10736"/>
    <w:rsid w:val="00F11E32"/>
    <w:rsid w:val="00F13106"/>
    <w:rsid w:val="00F31861"/>
    <w:rsid w:val="00F37377"/>
    <w:rsid w:val="00F47A3F"/>
    <w:rsid w:val="00F552C0"/>
    <w:rsid w:val="00F61EB8"/>
    <w:rsid w:val="00F63006"/>
    <w:rsid w:val="00F73B16"/>
    <w:rsid w:val="00F77C3A"/>
    <w:rsid w:val="00F90D9A"/>
    <w:rsid w:val="00F92E1A"/>
    <w:rsid w:val="00FA1A12"/>
    <w:rsid w:val="00FB1191"/>
    <w:rsid w:val="00FC03EF"/>
    <w:rsid w:val="00FD7A7D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068D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6068D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7E4F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C60E9"/>
    <w:pPr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rsid w:val="00A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5512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итул"/>
    <w:basedOn w:val="4"/>
    <w:rsid w:val="006068DF"/>
    <w:pPr>
      <w:spacing w:before="0"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customStyle="1" w:styleId="a8">
    <w:name w:val="Абзац"/>
    <w:basedOn w:val="a"/>
    <w:link w:val="a9"/>
    <w:rsid w:val="00A17CF1"/>
    <w:pPr>
      <w:spacing w:after="0" w:line="240" w:lineRule="auto"/>
      <w:ind w:left="397" w:right="284"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9">
    <w:name w:val="Абзац Знак"/>
    <w:basedOn w:val="a0"/>
    <w:link w:val="a8"/>
    <w:locked/>
    <w:rsid w:val="00A17CF1"/>
    <w:rPr>
      <w:rFonts w:ascii="Times New Roman" w:hAnsi="Times New Roman" w:cs="Times New Roman"/>
      <w:sz w:val="24"/>
      <w:szCs w:val="24"/>
    </w:rPr>
  </w:style>
  <w:style w:type="paragraph" w:customStyle="1" w:styleId="-">
    <w:name w:val="Абзац-заголовок"/>
    <w:basedOn w:val="a"/>
    <w:rsid w:val="0093564B"/>
    <w:pPr>
      <w:spacing w:after="0" w:line="240" w:lineRule="auto"/>
      <w:ind w:left="397" w:right="284" w:firstLine="454"/>
      <w:jc w:val="both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1A6E2D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7441B"/>
    <w:pPr>
      <w:spacing w:after="0" w:line="240" w:lineRule="auto"/>
      <w:ind w:firstLine="709"/>
      <w:jc w:val="both"/>
    </w:pPr>
    <w:rPr>
      <w:rFonts w:ascii="ГОСТ тип А" w:hAnsi="ГОСТ тип А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441B"/>
    <w:rPr>
      <w:rFonts w:ascii="ГОСТ тип А" w:hAnsi="ГОСТ тип А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068D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6068D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7E4F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C60E9"/>
    <w:pPr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rsid w:val="00A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5512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итул"/>
    <w:basedOn w:val="4"/>
    <w:rsid w:val="006068DF"/>
    <w:pPr>
      <w:spacing w:before="0"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customStyle="1" w:styleId="a8">
    <w:name w:val="Абзац"/>
    <w:basedOn w:val="a"/>
    <w:link w:val="a9"/>
    <w:rsid w:val="00A17CF1"/>
    <w:pPr>
      <w:spacing w:after="0" w:line="240" w:lineRule="auto"/>
      <w:ind w:left="397" w:right="284"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9">
    <w:name w:val="Абзац Знак"/>
    <w:basedOn w:val="a0"/>
    <w:link w:val="a8"/>
    <w:locked/>
    <w:rsid w:val="00A17CF1"/>
    <w:rPr>
      <w:rFonts w:ascii="Times New Roman" w:hAnsi="Times New Roman" w:cs="Times New Roman"/>
      <w:sz w:val="24"/>
      <w:szCs w:val="24"/>
    </w:rPr>
  </w:style>
  <w:style w:type="paragraph" w:customStyle="1" w:styleId="-">
    <w:name w:val="Абзац-заголовок"/>
    <w:basedOn w:val="a"/>
    <w:rsid w:val="0093564B"/>
    <w:pPr>
      <w:spacing w:after="0" w:line="240" w:lineRule="auto"/>
      <w:ind w:left="397" w:right="284" w:firstLine="454"/>
      <w:jc w:val="both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1A6E2D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7441B"/>
    <w:pPr>
      <w:spacing w:after="0" w:line="240" w:lineRule="auto"/>
      <w:ind w:firstLine="709"/>
      <w:jc w:val="both"/>
    </w:pPr>
    <w:rPr>
      <w:rFonts w:ascii="ГОСТ тип А" w:hAnsi="ГОСТ тип А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441B"/>
    <w:rPr>
      <w:rFonts w:ascii="ГОСТ тип А" w:hAnsi="ГОСТ тип А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A1A3-7484-45B9-B2D8-DEC0237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17872</CharactersWithSpaces>
  <SharedDoc>false</SharedDoc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http://www.investstroy-zs.ru/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Александрова Т.И.</cp:lastModifiedBy>
  <cp:revision>23</cp:revision>
  <cp:lastPrinted>2015-08-24T11:54:00Z</cp:lastPrinted>
  <dcterms:created xsi:type="dcterms:W3CDTF">2016-03-29T05:58:00Z</dcterms:created>
  <dcterms:modified xsi:type="dcterms:W3CDTF">2016-10-28T05:09:00Z</dcterms:modified>
</cp:coreProperties>
</file>