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020.0" w:type="dxa"/>
        <w:jc w:val="left"/>
        <w:tblInd w:w="-108.0" w:type="dxa"/>
        <w:tblLayout w:type="fixed"/>
        <w:tblLook w:val="0000"/>
      </w:tblPr>
      <w:tblGrid>
        <w:gridCol w:w="480"/>
        <w:gridCol w:w="3280"/>
        <w:gridCol w:w="5260"/>
        <w:tblGridChange w:id="0">
          <w:tblGrid>
            <w:gridCol w:w="480"/>
            <w:gridCol w:w="3280"/>
            <w:gridCol w:w="5260"/>
          </w:tblGrid>
        </w:tblGridChange>
      </w:tblGrid>
      <w:tr>
        <w:trPr>
          <w:trHeight w:val="32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ПРОЕКТНАЯ ДЕКЛАРАЦИЯ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Общества с ограниченной ответственностью «Проектно-Строительная компания «Дом» на строительство объекта: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0"/>
                <w:szCs w:val="20"/>
                <w:rtl w:val="0"/>
              </w:rPr>
              <w:t xml:space="preserve">Жилой дом ГП 8-2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(комплекс жилых домов 8 квартала МКР № 1 жилого района «Тюменский»),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расположенный по адресу: Тюменская область, г.Тюмень, ул.Широтная – Пермякова – объездная дорога – район МЖК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1. Информация о застройщике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Фирменное наименование (наименование)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Общество с ограниченной ответственностью «Проектно-Строительная компания «Дом»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Место нахождения.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Режим работы.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Телефоны.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Почтовый адрес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625048, Россия, Тюменская обл., г.Тюмень, ул. Барабинская, 1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Понедельник - четверг 09.00 - 18.00, пятница 09.00 - 17.00, обед 13.00 - 14.00. Тел. (3452) 44-84-84, 277-181, факс (3452) 792-492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625048, Россия, Тюменская обл., г.Тюмень, ул. Барабинская, 1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Государственная регистрация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Зарегистрировано Регистрационной палатой города Тюмени 13 марта 2000 года, регистрационный № 501, запись в Единый государственный реестр юридических лиц внесена Инспекцией МНС России по г.Тюмени № 3 22 ноября 2002 г., свидетельство серия 72 № 000209105, ОГРН 1027200824991, ИНН 7202088233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Участники застройщика, которые обладают пятью и более процентами голосов в органе управления юридического лица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Общество с ограниченной ответственностью «Трейд КомФорт», размер доли в уставном капитале (голосов на общем собрании участников) составляет 99,5 процента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9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Проекты строительства многоквартирных домов и (или) иных объектов недвижимости, в которых принимал участие застройщик в течение трёх лет, предшествующих размещению проектной декларации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Жилой дом по ГП-5-1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Строит. адрес: г.Тюмень, 2 мкрн. жилого района «Тюменский», квартал 4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Почтовый адрес: г.Тюмень, ул.П.Артамонова, д.8 корп.1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Проектный срок ввода в эксплуатацию – декабрь 2012 года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Фактический срок ввода в эксплуатацию – декабрь 2011 года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Жилой дом по ГП-4-4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Строит. адрес: г.Тюмень, 2 мкрн. жилого района «Тюменский», квартал 4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Почтовый адрес: г.Тюмень, ул.С.Карнацевича, д.6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Проектный срок ввода в эксплуатацию – декабрь 2012 года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Фактический срок ввода в эксплуатацию – декабрь 2011 года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Жилой дом по ГП-1, ГП-2, ГП-3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Строит. адрес: г.Тюмень, 2 мкрн. жилого района «Тюменский», квартал 4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Почтовый адрес: г.Тюмень, ул.П.Артамонова, д.8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Проектный срок ввода в эксплуатацию – декабрь 2012 года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Фактический срок ввода в эксплуатацию – декабрь 2011 года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Подземная автостоянка ГП 4-6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Строит. адрес: г.Тюмень, 2 мкрн. жилого района «Тюменский», квартал 4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Почтовый адрес: г.Тюмень, ул.С.Карнацевича, д.6 стр.1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Проектный срок ввода в эксплуатацию – декабрь 2012 года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Фактический срок ввода в эксплуатацию – декабрь 2011 года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Жилые дома по ГП-4-1, ГП-4-2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Строит. адрес: г.Тюмень, 2 мкрн. жилого района «Тюменский», квартал 4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Почтовый адрес: г.Тюмень, ул.Суходольская, д.16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Проектный срок ввода в эксплуатацию – декабрь 2013 года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Фактический срок ввода в эксплуатацию – октябрь 2012 года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Жилой дом по ул.Мельничная -Фабричная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Строит. адрес: город Тюмень, улица Мельничная - Фабричная. Почтовый адрес: г.Тюмень, ул.Фабричная, д.9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Проектный срок ввода в эксплуатацию – октябрь 2012 года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Фактический срок ввода в эксплуатацию – октябрь 2012 года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Жилые дома по ГП 4-5, ГП 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Строит. адрес: г.Тюмень, 2 мкрн. жилого района «Тюменский», квартал 4.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Почтовый адрес: г.Тюмень, ул.С.Карнацевича, д.4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Проектный срок ввода в эксплуатацию – декабрь 2013 года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Фактический срок ввода в эксплуатацию – декабрь 2012 года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Жилые дома по ГП-7, ГП-8, ГП-9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Строит. адрес: г.Тюмень, 2 мкрн. жилого района «Тюменский», квартал 4.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Почтовый адрес: г.Тюмень, ул.М.Сперанского, д.17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Проектный срок ввода в эксплуатацию – декабрь 2013 года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Фактический срок ввода в эксплуатацию – декабрь 2012 года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Жилой дом по ГП-6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Строит. адрес: г.Тюмень, 2 мкрн. жилого района «Тюменский», квартал 4.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Почтовый адрес: г.Тюмень, ул.М.Сперанского, д.17 корп.1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Проектный срок ввода в эксплуатацию – декабрь 2013 года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Фактический срок ввода в эксплуатацию – декабрь 2012 года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Жилой дом по ГП-4-3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Строит. адрес: г.Тюмень, 2 мкрн. жилого района «Тюменский», квартал 4.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Почтовый адрес: г.Тюмень, ул.Суходольская, д.18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Проектный срок ввода в эксплуатацию – декабрь 2013 года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Фактический срок ввода в эксплуатацию – декабрь 2012 года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Жилой дом по ГП-1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Строит. адрес: г.Тюмень, ул.Федюнинского.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Почтовый адрес: г.Тюмень, ул.Самарцева, д.30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Проектный срок ввода в эксплуатацию – декабрь 2013 года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Фактический срок ввода в эксплуатацию – декабрь 2012 года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Жилой дом по ГП-2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Строит. адрес: г.Тюмень, ул.Федюнинского.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Почтовый адрес: г.Тюмень, ул.Самарцева, д.32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Проектный срок ввода в эксплуатацию – декабрь 2013 года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Фактический срок ввода в эксплуатацию – декабрь 2012 года</w:t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Вид лицензируемой деятельности/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Информация о лицензии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Подлежащие лицензированию виды деятельности не осуществляются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Финансовый результат текущего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года (9 месяцев 2013 года)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Кредиторская задолженность на дату размещения проектной декларации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Дебиторская задолженность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 дату размещения проектной декларации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43 733 тыс. рублей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3 529 166 тыс. рублей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2 209 130 тыс. рублей 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2. Информация о проекте строительства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Цели проекта строительства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Этапы и сроки реализации проекта строительства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Результаты государственной экспертизы проектной документации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Реализация национального проекта «Доступное и комфортное жилье – гражданам России», активизация застройки города Тюмени, развитие общественной инфраструктуры местного значения, скорейшее обустройство застраиваемой территории и обеспечение комфортного проживания граждан, извлечение прибыли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Фактическое начало строительства – ноябрь 2013 года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Планируемое окончание строительства – декабрь 2016 года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Этапность строительства не предусматривается.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Проект получил положительное заключение государственной экспертизы № 72-1-4-0208-08, выданное государственным автономным учреждением Тюменской области «Управление государственной экспертизы проектной документации» 22.05.2008.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Разрешение на строительство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Разрешение на строительство № RU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0"/>
                <w:szCs w:val="20"/>
                <w:rtl w:val="0"/>
              </w:rPr>
              <w:t xml:space="preserve">72304000-453-1рс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выдано Администрацией города Тюмени 22.11.2013.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Срок действия разрешения – до 22.05.2016.</w:t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Описание земельного участка, на котором осуществляется строительство (кадастровый номер, площадь, категория, разрешённое использование)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Права застройщика на земельный участок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Собственник земельного участка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Земельный участок, кадастровый номер 72:17:1313001:7123, площадь 21228 кв.м. Категория земель: земли населённых пунктов, разрешённое использование: для размещения многоэтажной жилой застройки; для размещения общественно-жилых комплексов, адрес (местонахождение): Тюменская область, г.Тюмень, ул.Широтная-Пермякова, объездная дорога – район МЖК.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Принадлежит на праве собственности на основании договора купли-продажи недвижимого имущества от 04.06.2012. Право собственности зарегистрировано Управлением Федеральной службы государственной регистрации, кадастра и картографии по Тюменской области 02.11.2012, запись регистрации в Едином государственном реестре прав на недвижимое имущество и сделок с ним № 72-72-01/494/2012-283; свидетельство о государственной регистрации права 72 НМ 705875 от 24.10.2013.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Элементы благоустройства территории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Мероприятия по благоустройству включают в себя устройство проездов, стоянок личного автотранспорта, тротуаров, дорожек, площадок отдыха, детских и хозяйственных площадок, оборудованных малыми архитектурными формами, посев трав, кустарников, деревьев, освещение входов в строение в тёмное время суток. Въезд на территорию предусмотрен со стороны существующей улицы Суходольской и проектируемой улицы 1.6. Покрытие проездов и стоянок – асфальтобетон, тротуаров, дорожек и площадок – бетонная тротуарная плитка и асфальтобетон.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Местоположение строящегося объекта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Описание строящегося объекта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Объект территориально расположен в Восточном административном округе г.Тюмени, в зоне существующей многоэтажной застройки в границах: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0"/>
                <w:szCs w:val="20"/>
                <w:rtl w:val="0"/>
              </w:rPr>
              <w:t xml:space="preserve">с северо-запада – проектируемая улица 1.6, жилой дом по ул.Станислава Карнацевича, д.14, кор.1, с северо-востока – улица Василия Гольцова,  проектируемый жилой дом ГП 8-1, с юго-востока – улица Суходольская, жилой дом по ул.Широтная, д.108, с юго-запада –  улица Евгения Богдановича, жилой дом по ул. Евгения Богдановича, 16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Объект представляет собой разноэтажный (10-14 этажей) 10-секционный (блок-секции 7-16) жилой дом в кирпичном исполнении. 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Технические характеристики строящегося объекта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0"/>
                <w:szCs w:val="20"/>
                <w:rtl w:val="0"/>
              </w:rPr>
              <w:t xml:space="preserve">Жилой дом ГП 8-1: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0"/>
                <w:szCs w:val="20"/>
                <w:rtl w:val="0"/>
              </w:rPr>
              <w:t xml:space="preserve">Площадь земельного участка – 21228 кв.м.; количество блок-секций – 10; количество этажей – 10-14; строительный объем здания – 161970,84 куб.м., в т.ч. техподполье – 10980,74 куб.м.; общая площадь здания – 31602,73 кв.м. Инженерные сети, трансформаторная подстанция, тепловой пункт.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0"/>
                <w:szCs w:val="20"/>
                <w:rtl w:val="0"/>
              </w:rPr>
              <w:t xml:space="preserve">Блок-секции № 11-16 сблокированы П-образно, к ним примыкают секции   № 7-10. Блок-секции № 7, 8, 9, 11, 13, 14 и 16 – 10-этажные, рядовые, прямоугольные в плане, блок-секции № 12 и 15 – 14-этажные, угловые, Г-образные в плане, блок-секция № 10 – 10-этажная индивидуальная прямоугольная вставка.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Конструктивная схема здания – бескаркасная с несущими и самонесущими продольными и поперечными наружными и внутренними кирпичными стенами, горизонтальными дисками перекрытий.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Фундаменты – монолитные железобетонные ленточные ростверки на свайном основании (для 14-этажных секций), монолитная железобетонная плита (для 10-этажных секций). Стены подвала – бетонные блоки.  Наружные стены – кирпичная кладка трёхслойная толщиной 690 мм из керамического кирпича с уширенным швом, заполненным утеплителем. Внутренние стены толщиной 380 мм и 510 мм из керамического утолщённого кирпича. Перекрытия – сборные железобетонные многопустотные панели.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каждой блок-секции предусмотрено устройство лифтов: в 10-этажных секциях – по 1 лифту, в 14-этажных секциях – по 2 лифта.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Архитектурные решения: высота типового жилого этажа – 3,0 м., высота технического подполья – 2,1 м, высота технического этажа – 1,8 м.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Наружная отделка здания – лицевой керамический кирпич двух цветов. Цоколь – керамический облицовочный кирпич. Крыша плоская рулонная с внутренним организованным водостоком, с устройством гидроизоляционного ковра и с утеплителем. Окна, витражи – ПВХ профиль, двухкамерный стеклопакет. Двери (наружные) – металлические. 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Количество и площади квартир (жилых помещений) в составе строящегося жилого дома в соответствии с проектной документацией. Описание их технических характеристик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0"/>
                <w:szCs w:val="20"/>
                <w:rtl w:val="0"/>
              </w:rPr>
              <w:t xml:space="preserve">Количество квартир – 494 штуки, в том числе: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0"/>
                <w:szCs w:val="20"/>
                <w:rtl w:val="0"/>
              </w:rPr>
              <w:t xml:space="preserve">1-комнатные – 278 штук (площадью от 34,5 кв.м. до 54,5 кв.м.)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0"/>
                <w:szCs w:val="20"/>
                <w:rtl w:val="0"/>
              </w:rPr>
              <w:t xml:space="preserve">2-комнатные – 92 штуки (площадью от 57,9 кв.м. до 92,9 кв.м.)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0"/>
                <w:szCs w:val="20"/>
                <w:rtl w:val="0"/>
              </w:rPr>
              <w:t xml:space="preserve">3-комнатные – 124 штуки (площадью от 66,7 кв.м. до 95,2 кв.м.)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0"/>
                <w:szCs w:val="20"/>
                <w:rtl w:val="0"/>
              </w:rPr>
              <w:t xml:space="preserve">Общая площадь квартир (без учета лоджий и балконов) – 28232,0 кв.м.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Все квартиры рассчитаны на комфортное проживание и имеют необходимый состав помещений, включающий в себя раздельный или совмещённый санузел, прихожую, кухню, гостиную, а также лоджии, площадь которых не включается в общую площадь жилых помещений. Двух- и трёхкомнатные квартиры имеют также спальные комнаты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Наименование (функциональное назначение), количество, площади нежилых помещений в строящемся жилом доме, не входящих в состав общего имущества жилого дома, их технические характеристики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Нежилые помещения, не входящие в состав общего имущества жилого дома, не запроектированы.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Состав общего имущества жилого дома,  которое будет находиться в общей долевой собственности участников долевого строительства после получения разрешения на ввод в эксплуатацию жилого дома и передачи объектов долевого строительства участникам строительства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состав общего имущества жилого дома входит имущество предусмотренное ст.36 ЖК России, в том числе: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Межквартирные лестничные площадки, лестницы, тамбуры, коридоры.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Лифты, лифтовые и иные шахты, машинные помещения лифтов, лифтовые холлы.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 Электрощитовые, колясочные, диспетчерская лифтов на 1 этаже жилого дома.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 Тепловой пункт, узел учёта тепла, насосные установки.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5. Иные помещения и инженерные коммуникации в техническом подполье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6. Крыши, чердаки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7. Ограждающие несущие и ненесущие конструкции дома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8. Иное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9. Земельный участок, на котором будет расположен дом, с элементами озеленения и благоустройства</w:t>
            </w:r>
          </w:p>
        </w:tc>
      </w:tr>
      <w:tr>
        <w:trPr>
          <w:trHeight w:val="13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Предполагаемый срок получения разрешения на ввод в эксплуатацию/ Орган, уполномоченный в соответствии с законодательством о градостроительной деятельности на выдачу разрешения на ввод объекта в эксплуатацию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Декабрь 2016 года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Администрация города Тюмени в лице Департамента градостроительной политики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Возможные финансовые и прочие риски при осуществлении проекта строительства/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Меры по добровольному страхованию застройщиком таких рисков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Вероятность финансовых и иных рисков при осуществлении проекта строительства невелика, так как ООО ПСК «Дом» имеет значительный опыт работы с аналогичными проектами. Финансовое положение ООО ПСК «Дом» является стабильным.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Вероятность финансовых и иных рисков при осуществлении проекта строительства может быть обусловлена только возникновением форс-мажорных обстоятельств, таких, как стихийные бедствия (землетрясения, наводнения), военные действия, забастовки, а также принятие органами государственной власти или органами местного самоуправления решений, которые могут повлечь за собой увеличение срока ввода жилого дома в эксплуатацию.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ООО ПСК «Дом» не планирует производить добровольное страхование от финансовых и прочих рисков</w:t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2.12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Планируемая стоимость строительства жилого дома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0"/>
                <w:szCs w:val="20"/>
                <w:rtl w:val="0"/>
              </w:rPr>
              <w:t xml:space="preserve">1 265 000 000 рублей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2.13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Перечень организаций, осуществляющих основные строительно-монтажные и другие работы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Проектная организация – ООО «Геопроект»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Генеральный подрядчик – ООО «Стройпроект»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Подрядчики – ООО «Обиус», ООО «СТиТ», ООО «Инж.Сервис», ООО «Оконные системы «ТДС», ООО «Промэлектромонтаж», ООО «Транссервис», ООО ПСК «Тюменьспецмонтаж», ООО СП «Лифт». </w:t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2.14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Способ обеспечения исполнения обязательств застройщика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Залог в порядке, предусмотренном статьями 13 – 15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2.15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Иные договоры и сделки, на основании которых привлекаются денежные средства для строительства (за исключением договоров участия в долевом строительстве)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 иным договорам и сделкам (кроме договоров участия в долевом строительстве) денежные средства не привлекаются, строительство ведётся за счёт собственных средств застройщика.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Проектная декларация размещена в сети Интернет на сайте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 xml:space="preserve">www.72DOM.com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Дата размещения проектной декларации «23» ноября 2013 года.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Директор ООО «Проектно-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Строительная компания «Дом»</w:t>
        <w:tab/>
        <w:tab/>
        <w:tab/>
        <w:tab/>
        <w:tab/>
        <w:tab/>
        <w:t xml:space="preserve">А.Н.Ионин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020.0" w:type="dxa"/>
        <w:jc w:val="left"/>
        <w:tblInd w:w="-108.0" w:type="dxa"/>
        <w:tblLayout w:type="fixed"/>
        <w:tblLook w:val="0000"/>
      </w:tblPr>
      <w:tblGrid>
        <w:gridCol w:w="340"/>
        <w:gridCol w:w="3520"/>
        <w:gridCol w:w="5160"/>
        <w:tblGridChange w:id="0">
          <w:tblGrid>
            <w:gridCol w:w="340"/>
            <w:gridCol w:w="3520"/>
            <w:gridCol w:w="5160"/>
          </w:tblGrid>
        </w:tblGridChange>
      </w:tblGrid>
      <w:tr>
        <w:trPr>
          <w:trHeight w:val="32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ИЗМЕНЕНИЯ №1 к Проектной декларации Общества с ограниченной ответственностью «Проектно-Строительная компания «ДОМ» на объект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0"/>
                <w:szCs w:val="20"/>
                <w:rtl w:val="0"/>
              </w:rPr>
              <w:t xml:space="preserve">Жилой дом ГП 8-2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(комплекс жилых домов 8 квартала МКР № 1 жилого района «Тюменский»),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расположенный по адресу: Тюменская область, г.Тюмень, ул.Широтная – Пермякова – объездная дорога – район МЖК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Проектная декларация размещена в сети Интернет на сайте </w:t>
            </w:r>
            <w:hyperlink r:id="rId5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0"/>
                  <w:szCs w:val="20"/>
                  <w:u w:val="single"/>
                  <w:rtl w:val="0"/>
                </w:rPr>
                <w:t xml:space="preserve">www.72DOM.com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«23» ноября 2013 г.</w:t>
            </w:r>
          </w:p>
        </w:tc>
      </w:tr>
      <w:tr>
        <w:trPr>
          <w:trHeight w:val="38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Информация о застройщике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п.7 проектной декларации изменить информацию о: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Финансовом результате текущего года 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c0c0c0"/>
                <w:sz w:val="20"/>
                <w:szCs w:val="20"/>
                <w:rtl w:val="0"/>
              </w:rPr>
              <w:t xml:space="preserve">(за 2013г.)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Кредиторской задолженности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изложив ее в следующей редакции: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Дебиторской задолженности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изложив ее в следующей редакции: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56 625 тыс. рублей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3 365 619 тыс. рублей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2 060 168 тыс. рублей  </w:t>
            </w:r>
          </w:p>
        </w:tc>
      </w:tr>
      <w:tr>
        <w:trPr>
          <w:trHeight w:val="1360" w:hRule="atLeast"/>
        </w:trPr>
        <w:tc>
          <w:tcPr>
            <w:gridSpan w:val="3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Изменения к проектной декларации размещены в сети Интернет на сайте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  <w:rtl w:val="0"/>
              </w:rPr>
              <w:t xml:space="preserve">www.72DOM.com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Дата размещения изменений к проектной декларации 28 марта 2014 г.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Директор</w:t>
              <w:tab/>
              <w:tab/>
              <w:tab/>
              <w:tab/>
              <w:tab/>
              <w:tab/>
              <w:tab/>
              <w:tab/>
              <w:tab/>
              <w:t xml:space="preserve">А.Н.Ионин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9020.0" w:type="dxa"/>
        <w:jc w:val="left"/>
        <w:tblInd w:w="-108.0" w:type="dxa"/>
        <w:tblLayout w:type="fixed"/>
        <w:tblLook w:val="0000"/>
      </w:tblPr>
      <w:tblGrid>
        <w:gridCol w:w="340"/>
        <w:gridCol w:w="3520"/>
        <w:gridCol w:w="5160"/>
        <w:tblGridChange w:id="0">
          <w:tblGrid>
            <w:gridCol w:w="340"/>
            <w:gridCol w:w="3520"/>
            <w:gridCol w:w="5160"/>
          </w:tblGrid>
        </w:tblGridChange>
      </w:tblGrid>
      <w:tr>
        <w:trPr>
          <w:trHeight w:val="32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ИЗМЕНЕНИЯ №2 к Проектной декларации Общества с ограниченной ответственностью «Проектно-Строительная компания «ДОМ» на объект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0"/>
                <w:szCs w:val="20"/>
                <w:rtl w:val="0"/>
              </w:rPr>
              <w:t xml:space="preserve">Жилой дом ГП 8-2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(комплекс жилых домов 8 квартала МКР № 1 жилого района «Тюменский»),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расположенный по адресу: Тюменская область, г.Тюмень, ул.Широтная – Пермякова – объездная дорога – район МЖК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Проектная декларация размещена в сети Интернет на сайте 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0"/>
                  <w:szCs w:val="20"/>
                  <w:u w:val="single"/>
                  <w:rtl w:val="0"/>
                </w:rPr>
                <w:t xml:space="preserve">www.72DOM.com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«23» ноября 2013 г.</w:t>
            </w:r>
          </w:p>
        </w:tc>
      </w:tr>
      <w:tr>
        <w:trPr>
          <w:trHeight w:val="38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Информация о застройщике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п.7 проектной декларации изменить информацию о: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Финансовом результате текущего года 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c0c0c0"/>
                <w:sz w:val="20"/>
                <w:szCs w:val="20"/>
                <w:rtl w:val="0"/>
              </w:rPr>
              <w:t xml:space="preserve">(за 1 квартал 2014г.)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Кредиторской задолженности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изложив ее в следующей редакции: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Дебиторской задолженности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изложив ее в следующей редакции: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3 139 тыс. рублей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3 310 943 тыс. рублей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2 381 136 тыс. рублей  </w:t>
            </w:r>
          </w:p>
        </w:tc>
      </w:tr>
      <w:tr>
        <w:trPr>
          <w:trHeight w:val="1360" w:hRule="atLeast"/>
        </w:trPr>
        <w:tc>
          <w:tcPr>
            <w:gridSpan w:val="3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Изменения к проектной декларации размещены в сети Интернет на сайте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  <w:rtl w:val="0"/>
              </w:rPr>
              <w:t xml:space="preserve">www.72DOM.com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Дата размещения изменений к проектной декларации 29 апреля 2014 г.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Директор</w:t>
              <w:tab/>
              <w:tab/>
              <w:tab/>
              <w:tab/>
              <w:tab/>
              <w:tab/>
              <w:tab/>
              <w:tab/>
              <w:tab/>
              <w:t xml:space="preserve">А.Н.Ионин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9020.0" w:type="dxa"/>
        <w:jc w:val="left"/>
        <w:tblInd w:w="-108.0" w:type="dxa"/>
        <w:tblLayout w:type="fixed"/>
        <w:tblLook w:val="0000"/>
      </w:tblPr>
      <w:tblGrid>
        <w:gridCol w:w="340"/>
        <w:gridCol w:w="3520"/>
        <w:gridCol w:w="5160"/>
        <w:tblGridChange w:id="0">
          <w:tblGrid>
            <w:gridCol w:w="340"/>
            <w:gridCol w:w="3520"/>
            <w:gridCol w:w="5160"/>
          </w:tblGrid>
        </w:tblGridChange>
      </w:tblGrid>
      <w:tr>
        <w:trPr>
          <w:trHeight w:val="32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ИЗМЕНЕНИЯ №3 к Проектной декларации Общества с ограниченной ответственностью «Проектно-Строительная компания «ДОМ» на объект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0"/>
                <w:szCs w:val="20"/>
                <w:rtl w:val="0"/>
              </w:rPr>
              <w:t xml:space="preserve">Жилой дом ГП 8-2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(комплекс жилых домов 8 квартала МКР № 1 жилого района «Тюменский»),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расположенный по адресу: Тюменская область, г.Тюмень, ул.Широтная – Пермякова – объездная дорога – район МЖК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Проектная декларация размещена в сети Интернет на сайте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0"/>
                  <w:szCs w:val="20"/>
                  <w:u w:val="single"/>
                  <w:rtl w:val="0"/>
                </w:rPr>
                <w:t xml:space="preserve">www.72DOM.com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«23» ноября 2013 г.</w:t>
            </w:r>
          </w:p>
        </w:tc>
      </w:tr>
      <w:tr>
        <w:trPr>
          <w:trHeight w:val="38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Информация о застройщике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п.7 проектной декларации изменить информацию о: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Финансовом результате текущего года 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c0c0c0"/>
                <w:sz w:val="20"/>
                <w:szCs w:val="20"/>
                <w:rtl w:val="0"/>
              </w:rPr>
              <w:t xml:space="preserve">(за 1 полугодие 2014г.)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Кредиторской задолженности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изложив ее в следующей редакции: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Дебиторской задолженности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изложив ее в следующей редакции: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14 499 тыс. рублей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3 278 190 тыс. рублей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2 196 941 тыс. рублей  </w:t>
            </w:r>
          </w:p>
        </w:tc>
      </w:tr>
      <w:tr>
        <w:trPr>
          <w:trHeight w:val="1360" w:hRule="atLeast"/>
        </w:trPr>
        <w:tc>
          <w:tcPr>
            <w:gridSpan w:val="3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Изменения к проектной декларации размещены в сети Интернет на сайте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  <w:rtl w:val="0"/>
              </w:rPr>
              <w:t xml:space="preserve">www.72DOM.com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Дата размещения изменений к проектной декларации 29 июля 2014 г.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Директор</w:t>
              <w:tab/>
              <w:tab/>
              <w:tab/>
              <w:tab/>
              <w:tab/>
              <w:tab/>
              <w:tab/>
              <w:tab/>
              <w:tab/>
              <w:t xml:space="preserve">А.Н.Ионин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5"/>
        <w:bidi w:val="0"/>
        <w:tblW w:w="9020.0" w:type="dxa"/>
        <w:jc w:val="left"/>
        <w:tblInd w:w="-108.0" w:type="dxa"/>
        <w:tblLayout w:type="fixed"/>
        <w:tblLook w:val="0000"/>
      </w:tblPr>
      <w:tblGrid>
        <w:gridCol w:w="340"/>
        <w:gridCol w:w="3520"/>
        <w:gridCol w:w="5160"/>
        <w:tblGridChange w:id="0">
          <w:tblGrid>
            <w:gridCol w:w="340"/>
            <w:gridCol w:w="3520"/>
            <w:gridCol w:w="5160"/>
          </w:tblGrid>
        </w:tblGridChange>
      </w:tblGrid>
      <w:tr>
        <w:trPr>
          <w:trHeight w:val="32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ИЗМЕНЕНИЯ №4 к Проектной декларации Общества с ограниченной ответственностью «Проектно-Строительная компания «ДОМ» на объект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0"/>
                <w:szCs w:val="20"/>
                <w:rtl w:val="0"/>
              </w:rPr>
              <w:t xml:space="preserve">Жилой дом ГП 8-2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(комплекс жилых домов 8 квартала МКР № 1 жилого района «Тюменский»),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расположенный по адресу: Тюменская область, г.Тюмень, ул.Широтная – Пермякова – объездная дорога – район МЖК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Проектная декларация размещена в сети Интернет на сайте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0"/>
                  <w:szCs w:val="20"/>
                  <w:u w:val="single"/>
                  <w:rtl w:val="0"/>
                </w:rPr>
                <w:t xml:space="preserve">www.72DOM.com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«23» ноября 2013 г.</w:t>
            </w:r>
          </w:p>
        </w:tc>
      </w:tr>
      <w:tr>
        <w:trPr>
          <w:trHeight w:val="38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Информация о застройщике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п.7 проектной декларации изменить информацию о: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Финансовом результате текущего года 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c0c0c0"/>
                <w:sz w:val="20"/>
                <w:szCs w:val="20"/>
                <w:rtl w:val="0"/>
              </w:rPr>
              <w:t xml:space="preserve">(за 9 месяцев 2014г.)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Кредиторской задолженности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изложив ее в следующей редакции: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Дебиторской задолженности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изложив ее в следующей редакции: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30 439 тыс. рублей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3 380 934 тыс. рублей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2 229 339 тыс. рублей  </w:t>
            </w:r>
          </w:p>
        </w:tc>
      </w:tr>
      <w:tr>
        <w:trPr>
          <w:trHeight w:val="1360" w:hRule="atLeast"/>
        </w:trPr>
        <w:tc>
          <w:tcPr>
            <w:gridSpan w:val="3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Изменения к проектной декларации размещены в сети Интернет на сайте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  <w:rtl w:val="0"/>
              </w:rPr>
              <w:t xml:space="preserve">www.72DOM.com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Дата размещения изменений к проектной декларации 29 октября 2014 г.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Директор</w:t>
              <w:tab/>
              <w:tab/>
              <w:tab/>
              <w:tab/>
              <w:tab/>
              <w:tab/>
              <w:tab/>
              <w:tab/>
              <w:tab/>
              <w:t xml:space="preserve">А.Н.Ионин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6"/>
        <w:bidi w:val="0"/>
        <w:tblW w:w="9000.0" w:type="dxa"/>
        <w:jc w:val="left"/>
        <w:tblInd w:w="-108.0" w:type="dxa"/>
        <w:tblLayout w:type="fixed"/>
        <w:tblLook w:val="0000"/>
      </w:tblPr>
      <w:tblGrid>
        <w:gridCol w:w="400"/>
        <w:gridCol w:w="3640"/>
        <w:gridCol w:w="4960"/>
        <w:tblGridChange w:id="0">
          <w:tblGrid>
            <w:gridCol w:w="400"/>
            <w:gridCol w:w="3640"/>
            <w:gridCol w:w="4960"/>
          </w:tblGrid>
        </w:tblGridChange>
      </w:tblGrid>
      <w:tr>
        <w:trPr>
          <w:trHeight w:val="32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ИЗМЕНЕНИЯ №5 к Проектной декларации Общества с ограниченной ответственностью «Проектно-Строительная компания «ДОМ» на объект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0"/>
                <w:szCs w:val="20"/>
                <w:rtl w:val="0"/>
              </w:rPr>
              <w:t xml:space="preserve">Жилой дом ГП 8-2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(комплекс жилых домов 8 квартала МКР № 1 жилого района «Тюменский»),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расположенный по адресу: Тюменская область, г.Тюмень, ул.Широтная – Пермякова – объездная дорога – район МЖК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Проектная декларация размещена в сети Интернет на сайте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0"/>
                  <w:szCs w:val="20"/>
                  <w:u w:val="single"/>
                  <w:rtl w:val="0"/>
                </w:rPr>
                <w:t xml:space="preserve">www.72DOM.com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«23» ноября 2013 г.</w:t>
            </w:r>
          </w:p>
        </w:tc>
      </w:tr>
      <w:tr>
        <w:trPr>
          <w:trHeight w:val="38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Информация о проекте строительства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п.2.7 проектной декларации изменить информацию о: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Количество и площади квартир (жилых помещений) в составе строящегося жилого дома в соответствии с проектной документацией. Описание их технических характеристик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изложив ее в следующей редакции: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0"/>
                <w:szCs w:val="20"/>
                <w:rtl w:val="0"/>
              </w:rPr>
              <w:t xml:space="preserve">Количество квартир – 494 штуки, в том числе: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0"/>
                <w:szCs w:val="20"/>
                <w:rtl w:val="0"/>
              </w:rPr>
              <w:t xml:space="preserve">1-комнатные – 278 штук (площадью от 34,5 кв.м. до 52,9 кв.м.)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0"/>
                <w:szCs w:val="20"/>
                <w:rtl w:val="0"/>
              </w:rPr>
              <w:t xml:space="preserve">2-комнатные – 92 штуки (площадью от 57,9 кв.м. до 92,9 кв.м.)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0"/>
                <w:szCs w:val="20"/>
                <w:rtl w:val="0"/>
              </w:rPr>
              <w:t xml:space="preserve">3-комнатные – 124 штуки (площадью от 64,5 кв.м. до 95,1 кв.м.)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0"/>
                <w:szCs w:val="20"/>
                <w:rtl w:val="0"/>
              </w:rPr>
              <w:t xml:space="preserve">Общая площадь квартир (без учета лоджий и балконов) – 27848,7 кв.м.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Все квартиры рассчитаны на комфортное проживание и имеют необходимый состав помещений, включающий в себя раздельный или совмещённый санузел, прихожую, кухню, гостиную, а также лоджии, площадь которых не включается в общую площадь жилых помещений. Двух- и трёхкомнатные квартиры имеют также спальные комнаты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1360" w:hRule="atLeast"/>
        </w:trPr>
        <w:tc>
          <w:tcPr>
            <w:gridSpan w:val="3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Изменения к проектной декларации размещены в сети Интернет на сайте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  <w:rtl w:val="0"/>
              </w:rPr>
              <w:t xml:space="preserve">www.72DOM.com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Дата размещения изменений к проектной декларации 12 ноября 2014 г.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Директор</w:t>
              <w:tab/>
              <w:tab/>
              <w:tab/>
              <w:tab/>
              <w:tab/>
              <w:tab/>
              <w:tab/>
              <w:tab/>
              <w:tab/>
              <w:t xml:space="preserve">А.Н.Ионин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7"/>
        <w:bidi w:val="0"/>
        <w:tblW w:w="9020.0" w:type="dxa"/>
        <w:jc w:val="left"/>
        <w:tblInd w:w="-108.0" w:type="dxa"/>
        <w:tblLayout w:type="fixed"/>
        <w:tblLook w:val="0000"/>
      </w:tblPr>
      <w:tblGrid>
        <w:gridCol w:w="340"/>
        <w:gridCol w:w="3520"/>
        <w:gridCol w:w="5160"/>
        <w:tblGridChange w:id="0">
          <w:tblGrid>
            <w:gridCol w:w="340"/>
            <w:gridCol w:w="3520"/>
            <w:gridCol w:w="5160"/>
          </w:tblGrid>
        </w:tblGridChange>
      </w:tblGrid>
      <w:tr>
        <w:trPr>
          <w:trHeight w:val="32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ИЗМЕНЕНИЯ №6 к Проектной декларации Общества с ограниченной ответственностью «Проектно-Строительная компания «ДОМ» на объект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0"/>
                <w:szCs w:val="20"/>
                <w:rtl w:val="0"/>
              </w:rPr>
              <w:t xml:space="preserve">Жилой дом ГП 8-2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(комплекс жилых домов 8 квартала МКР № 1 жилого района «Тюменский»),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расположенный по адресу: Тюменская область, г.Тюмень, ул.Широтная – Пермякова – объездная дорога – район МЖК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Проектная декларация размещена в сети Интернет на сайте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0"/>
                  <w:szCs w:val="20"/>
                  <w:u w:val="single"/>
                  <w:rtl w:val="0"/>
                </w:rPr>
                <w:t xml:space="preserve">www.72DOM.com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«23» ноября 2013 г.</w:t>
            </w:r>
          </w:p>
        </w:tc>
      </w:tr>
      <w:tr>
        <w:trPr>
          <w:trHeight w:val="38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Информация о застройщике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п.7 проектной декларации изменить информацию о: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Финансовом результате текущего года 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c0c0c0"/>
                <w:sz w:val="20"/>
                <w:szCs w:val="20"/>
                <w:rtl w:val="0"/>
              </w:rPr>
              <w:t xml:space="preserve">(за 2014г.)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Кредиторской задолженности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изложив ее в следующей редакции: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Дебиторской задолженности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изложив ее в следующей редакции: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62 093 тыс. рублей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3 134 683 тыс. рублей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3 038 695 тыс. рублей  </w:t>
            </w:r>
          </w:p>
        </w:tc>
      </w:tr>
      <w:tr>
        <w:trPr>
          <w:trHeight w:val="1360" w:hRule="atLeast"/>
        </w:trPr>
        <w:tc>
          <w:tcPr>
            <w:gridSpan w:val="3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Изменения к проектной декларации размещены в сети Интернет на сайте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  <w:rtl w:val="0"/>
              </w:rPr>
              <w:t xml:space="preserve">www.72DOM.com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Дата размещения изменений к проектной декларации 30 марта 2015 г.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Директор</w:t>
              <w:tab/>
              <w:tab/>
              <w:tab/>
              <w:tab/>
              <w:tab/>
              <w:tab/>
              <w:tab/>
              <w:tab/>
              <w:tab/>
              <w:t xml:space="preserve">А.Н.Ионин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hyperlink" Target="http://www.72dom.com" TargetMode="External"/><Relationship Id="rId9" Type="http://schemas.openxmlformats.org/officeDocument/2006/relationships/hyperlink" Target="http://www.72dom.com" TargetMode="External"/><Relationship Id="rId5" Type="http://schemas.openxmlformats.org/officeDocument/2006/relationships/hyperlink" Target="http://www.72dom.com" TargetMode="External"/><Relationship Id="rId6" Type="http://schemas.openxmlformats.org/officeDocument/2006/relationships/hyperlink" Target="http://www.72dom.com" TargetMode="External"/><Relationship Id="rId7" Type="http://schemas.openxmlformats.org/officeDocument/2006/relationships/hyperlink" Target="http://www.72dom.com" TargetMode="External"/><Relationship Id="rId8" Type="http://schemas.openxmlformats.org/officeDocument/2006/relationships/hyperlink" Target="http://www.72dom.com" TargetMode="External"/></Relationships>
</file>